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B853" w14:textId="77777777" w:rsidR="00125D48" w:rsidRPr="00173681" w:rsidRDefault="00000000">
      <w:pPr>
        <w:pStyle w:val="Body"/>
        <w:rPr>
          <w:rStyle w:val="tlid-translation"/>
          <w:lang w:val="fr-FR"/>
        </w:rPr>
      </w:pPr>
      <w:r w:rsidRPr="00173681">
        <w:rPr>
          <w:rStyle w:val="tlid-translation"/>
          <w:noProof/>
          <w:lang w:val="fr-FR"/>
        </w:rPr>
        <w:drawing>
          <wp:anchor distT="0" distB="0" distL="0" distR="0" simplePos="0" relativeHeight="251659264" behindDoc="0" locked="0" layoutInCell="1" allowOverlap="1" wp14:anchorId="36F1B550" wp14:editId="71C58C0F">
            <wp:simplePos x="0" y="0"/>
            <wp:positionH relativeFrom="page">
              <wp:posOffset>1803755</wp:posOffset>
            </wp:positionH>
            <wp:positionV relativeFrom="page">
              <wp:posOffset>914400</wp:posOffset>
            </wp:positionV>
            <wp:extent cx="3952800" cy="1033201"/>
            <wp:effectExtent l="0" t="0" r="0" b="0"/>
            <wp:wrapNone/>
            <wp:docPr id="1073741826" name="officeArt object" descr="Picture 12"/>
            <wp:cNvGraphicFramePr/>
            <a:graphic xmlns:a="http://schemas.openxmlformats.org/drawingml/2006/main">
              <a:graphicData uri="http://schemas.openxmlformats.org/drawingml/2006/picture">
                <pic:pic xmlns:pic="http://schemas.openxmlformats.org/drawingml/2006/picture">
                  <pic:nvPicPr>
                    <pic:cNvPr id="1073741826" name="Picture 12" descr="Picture 12"/>
                    <pic:cNvPicPr>
                      <a:picLocks noChangeAspect="1"/>
                    </pic:cNvPicPr>
                  </pic:nvPicPr>
                  <pic:blipFill>
                    <a:blip r:embed="rId7"/>
                    <a:stretch>
                      <a:fillRect/>
                    </a:stretch>
                  </pic:blipFill>
                  <pic:spPr>
                    <a:xfrm>
                      <a:off x="0" y="0"/>
                      <a:ext cx="3952800" cy="1033201"/>
                    </a:xfrm>
                    <a:prstGeom prst="rect">
                      <a:avLst/>
                    </a:prstGeom>
                    <a:ln w="12700" cap="flat">
                      <a:noFill/>
                      <a:miter lim="400000"/>
                    </a:ln>
                    <a:effectLst/>
                  </pic:spPr>
                </pic:pic>
              </a:graphicData>
            </a:graphic>
          </wp:anchor>
        </w:drawing>
      </w:r>
    </w:p>
    <w:p w14:paraId="13182238" w14:textId="77777777" w:rsidR="00125D48" w:rsidRPr="00173681" w:rsidRDefault="00125D48">
      <w:pPr>
        <w:pStyle w:val="Body"/>
        <w:rPr>
          <w:rStyle w:val="tlid-translation"/>
          <w:lang w:val="fr-FR"/>
        </w:rPr>
      </w:pPr>
    </w:p>
    <w:p w14:paraId="1FE57E8F" w14:textId="77777777" w:rsidR="00125D48" w:rsidRPr="00173681" w:rsidRDefault="00125D48">
      <w:pPr>
        <w:pStyle w:val="Body"/>
        <w:rPr>
          <w:rStyle w:val="tlid-translation"/>
          <w:lang w:val="fr-FR"/>
        </w:rPr>
      </w:pPr>
    </w:p>
    <w:p w14:paraId="423500FA" w14:textId="77777777" w:rsidR="00125D48" w:rsidRPr="00173681" w:rsidRDefault="00125D48">
      <w:pPr>
        <w:pStyle w:val="Body"/>
        <w:rPr>
          <w:rStyle w:val="tlid-translation"/>
          <w:lang w:val="fr-FR"/>
        </w:rPr>
      </w:pPr>
    </w:p>
    <w:p w14:paraId="0673462C" w14:textId="77777777" w:rsidR="00125D48" w:rsidRPr="00173681" w:rsidRDefault="00000000">
      <w:pPr>
        <w:pStyle w:val="Body"/>
        <w:rPr>
          <w:rStyle w:val="tlid-translation"/>
          <w:lang w:val="fr-FR"/>
        </w:rPr>
      </w:pPr>
      <w:r w:rsidRPr="00173681">
        <w:rPr>
          <w:rStyle w:val="tlid-translation"/>
          <w:noProof/>
          <w:lang w:val="fr-FR"/>
        </w:rPr>
        <mc:AlternateContent>
          <mc:Choice Requires="wpg">
            <w:drawing>
              <wp:anchor distT="0" distB="0" distL="0" distR="0" simplePos="0" relativeHeight="251660288" behindDoc="0" locked="0" layoutInCell="1" allowOverlap="1" wp14:anchorId="429B1F06" wp14:editId="54020185">
                <wp:simplePos x="0" y="0"/>
                <wp:positionH relativeFrom="page">
                  <wp:posOffset>489755</wp:posOffset>
                </wp:positionH>
                <wp:positionV relativeFrom="page">
                  <wp:posOffset>2343149</wp:posOffset>
                </wp:positionV>
                <wp:extent cx="6580800" cy="93601"/>
                <wp:effectExtent l="0" t="0" r="0" b="0"/>
                <wp:wrapNone/>
                <wp:docPr id="1073741829" name="officeArt object" descr="Grafik 218"/>
                <wp:cNvGraphicFramePr/>
                <a:graphic xmlns:a="http://schemas.openxmlformats.org/drawingml/2006/main">
                  <a:graphicData uri="http://schemas.microsoft.com/office/word/2010/wordprocessingGroup">
                    <wpg:wgp>
                      <wpg:cNvGrpSpPr/>
                      <wpg:grpSpPr>
                        <a:xfrm>
                          <a:off x="0" y="0"/>
                          <a:ext cx="6580800" cy="93601"/>
                          <a:chOff x="0" y="0"/>
                          <a:chExt cx="6580799" cy="93600"/>
                        </a:xfrm>
                      </wpg:grpSpPr>
                      <wps:wsp>
                        <wps:cNvPr id="1073741827" name="Shape"/>
                        <wps:cNvSpPr/>
                        <wps:spPr>
                          <a:xfrm>
                            <a:off x="-1" y="0"/>
                            <a:ext cx="6580801" cy="93601"/>
                          </a:xfrm>
                          <a:custGeom>
                            <a:avLst/>
                            <a:gdLst/>
                            <a:ahLst/>
                            <a:cxnLst>
                              <a:cxn ang="0">
                                <a:pos x="wd2" y="hd2"/>
                              </a:cxn>
                              <a:cxn ang="5400000">
                                <a:pos x="wd2" y="hd2"/>
                              </a:cxn>
                              <a:cxn ang="10800000">
                                <a:pos x="wd2" y="hd2"/>
                              </a:cxn>
                              <a:cxn ang="16200000">
                                <a:pos x="wd2" y="hd2"/>
                              </a:cxn>
                            </a:cxnLst>
                            <a:rect l="0" t="0" r="r" b="b"/>
                            <a:pathLst>
                              <a:path w="21600" h="21600" extrusionOk="0">
                                <a:moveTo>
                                  <a:pt x="0" y="1856"/>
                                </a:moveTo>
                                <a:lnTo>
                                  <a:pt x="0" y="1856"/>
                                </a:lnTo>
                                <a:cubicBezTo>
                                  <a:pt x="0" y="831"/>
                                  <a:pt x="12" y="0"/>
                                  <a:pt x="26" y="0"/>
                                </a:cubicBezTo>
                                <a:lnTo>
                                  <a:pt x="21574" y="0"/>
                                </a:lnTo>
                                <a:lnTo>
                                  <a:pt x="21574" y="0"/>
                                </a:lnTo>
                                <a:cubicBezTo>
                                  <a:pt x="21588" y="0"/>
                                  <a:pt x="21600" y="831"/>
                                  <a:pt x="21600" y="1856"/>
                                </a:cubicBezTo>
                                <a:lnTo>
                                  <a:pt x="21600" y="19744"/>
                                </a:lnTo>
                                <a:lnTo>
                                  <a:pt x="21600" y="19744"/>
                                </a:lnTo>
                                <a:cubicBezTo>
                                  <a:pt x="21600" y="20769"/>
                                  <a:pt x="21588" y="21600"/>
                                  <a:pt x="21574" y="21600"/>
                                </a:cubicBezTo>
                                <a:lnTo>
                                  <a:pt x="26" y="21600"/>
                                </a:lnTo>
                                <a:lnTo>
                                  <a:pt x="26" y="21600"/>
                                </a:lnTo>
                                <a:cubicBezTo>
                                  <a:pt x="12" y="21600"/>
                                  <a:pt x="0" y="20769"/>
                                  <a:pt x="0" y="19744"/>
                                </a:cubicBezTo>
                                <a:close/>
                              </a:path>
                            </a:pathLst>
                          </a:custGeom>
                          <a:solidFill>
                            <a:srgbClr val="EDEDED"/>
                          </a:solidFill>
                          <a:ln w="12700" cap="flat">
                            <a:noFill/>
                            <a:miter lim="400000"/>
                          </a:ln>
                          <a:effectLst/>
                        </wps:spPr>
                        <wps:bodyPr/>
                      </wps:wsp>
                      <pic:pic xmlns:pic="http://schemas.openxmlformats.org/drawingml/2006/picture">
                        <pic:nvPicPr>
                          <pic:cNvPr id="1073741828" name="image2.png" descr="image2.png"/>
                          <pic:cNvPicPr>
                            <a:picLocks noChangeAspect="1"/>
                          </pic:cNvPicPr>
                        </pic:nvPicPr>
                        <pic:blipFill>
                          <a:blip r:embed="rId8"/>
                          <a:srcRect/>
                          <a:stretch>
                            <a:fillRect/>
                          </a:stretch>
                        </pic:blipFill>
                        <pic:spPr>
                          <a:xfrm>
                            <a:off x="0" y="0"/>
                            <a:ext cx="6580800" cy="93601"/>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cubicBezTo>
                                  <a:pt x="11" y="0"/>
                                  <a:pt x="0" y="806"/>
                                  <a:pt x="0" y="1831"/>
                                </a:cubicBezTo>
                                <a:lnTo>
                                  <a:pt x="0" y="19769"/>
                                </a:lnTo>
                                <a:cubicBezTo>
                                  <a:pt x="0" y="20794"/>
                                  <a:pt x="11" y="21600"/>
                                  <a:pt x="26" y="21600"/>
                                </a:cubicBezTo>
                                <a:lnTo>
                                  <a:pt x="21573" y="21600"/>
                                </a:lnTo>
                                <a:cubicBezTo>
                                  <a:pt x="21587" y="21600"/>
                                  <a:pt x="21600" y="20794"/>
                                  <a:pt x="21600" y="19769"/>
                                </a:cubicBezTo>
                                <a:lnTo>
                                  <a:pt x="21600" y="1831"/>
                                </a:lnTo>
                                <a:cubicBezTo>
                                  <a:pt x="21600" y="806"/>
                                  <a:pt x="21587" y="0"/>
                                  <a:pt x="21573" y="0"/>
                                </a:cubicBezTo>
                                <a:lnTo>
                                  <a:pt x="26" y="0"/>
                                </a:lnTo>
                                <a:close/>
                              </a:path>
                            </a:pathLst>
                          </a:custGeom>
                          <a:ln w="12700" cap="flat">
                            <a:noFill/>
                            <a:miter lim="400000"/>
                          </a:ln>
                          <a:effectLst/>
                        </pic:spPr>
                      </pic:pic>
                    </wpg:wgp>
                  </a:graphicData>
                </a:graphic>
              </wp:anchor>
            </w:drawing>
          </mc:Choice>
          <mc:Fallback xmlns:w16du="http://schemas.microsoft.com/office/word/2023/wordml/word16du">
            <w:pict>
              <v:group id="_x0000_s1026" style="visibility:visible;position:absolute;margin-left:38.6pt;margin-top:184.5pt;width:518.2pt;height:7.4pt;z-index:251660288;mso-position-horizontal:absolute;mso-position-horizontal-relative:page;mso-position-vertical:absolute;mso-position-vertical-relative:page;mso-wrap-distance-left:0.0pt;mso-wrap-distance-top:0.0pt;mso-wrap-distance-right:0.0pt;mso-wrap-distance-bottom:0.0pt;" coordorigin="0,0" coordsize="6580800,93600">
                <w10:wrap type="none" side="bothSides" anchorx="page" anchory="page"/>
                <v:shape id="_x0000_s1027" style="position:absolute;left:0;top:0;width:6580800;height:93600;" coordorigin="0,0" coordsize="21600,21600" path="M 0,1856 L 0,1856 C 0,831 12,0 26,0 L 21574,0 L 21574,0 C 21588,0 21600,831 21600,1856 L 21600,19744 L 21600,19744 C 21600,20769 21588,21600 21574,21600 L 26,21600 L 26,21600 C 12,21600 0,20769 0,19744 X E">
                  <v:fill color="#EDEDED" opacity="100.0%" type="solid"/>
                  <v:stroke on="f" weight="1.0pt" dashstyle="solid" endcap="flat" miterlimit="400.0%" joinstyle="miter" linestyle="single" startarrow="none" startarrowwidth="medium" startarrowlength="medium" endarrow="none" endarrowwidth="medium" endarrowlength="medium"/>
                </v:shape>
                <v:shape id="_x0000_s1028" type="#_x0000_t75" style="position:absolute;left:0;top:0;width:6580800;height:93600;">
                  <v:imagedata r:id="rId9" o:title="image2.png"/>
                </v:shape>
              </v:group>
            </w:pict>
          </mc:Fallback>
        </mc:AlternateContent>
      </w:r>
    </w:p>
    <w:p w14:paraId="0F57C72D" w14:textId="77777777" w:rsidR="00125D48" w:rsidRPr="00173681" w:rsidRDefault="00125D48">
      <w:pPr>
        <w:pStyle w:val="Body"/>
        <w:rPr>
          <w:rStyle w:val="tlid-translation"/>
          <w:lang w:val="fr-FR"/>
        </w:rPr>
      </w:pPr>
    </w:p>
    <w:p w14:paraId="3580BDE0" w14:textId="77777777" w:rsidR="00125D48" w:rsidRPr="00173681" w:rsidRDefault="00125D48">
      <w:pPr>
        <w:pStyle w:val="Body"/>
        <w:rPr>
          <w:rStyle w:val="tlid-translation"/>
          <w:lang w:val="fr-FR"/>
        </w:rPr>
      </w:pPr>
    </w:p>
    <w:p w14:paraId="2700FA84" w14:textId="77777777" w:rsidR="00125D48" w:rsidRPr="00173681" w:rsidRDefault="00000000">
      <w:pPr>
        <w:pStyle w:val="FitSM-Titlepage-title"/>
        <w:rPr>
          <w:lang w:val="fr-FR"/>
        </w:rPr>
      </w:pPr>
      <w:r w:rsidRPr="00173681">
        <w:rPr>
          <w:lang w:val="fr-FR"/>
        </w:rPr>
        <w:t>Partie 1 : Exigences</w:t>
      </w:r>
    </w:p>
    <w:p w14:paraId="6B976002" w14:textId="77777777" w:rsidR="00125D48" w:rsidRPr="00173681" w:rsidRDefault="00125D48">
      <w:pPr>
        <w:pStyle w:val="FitSM-Titlepage-Subtitle"/>
        <w:rPr>
          <w:rStyle w:val="tlid-translation"/>
          <w:lang w:val="fr-FR"/>
        </w:rPr>
      </w:pPr>
    </w:p>
    <w:p w14:paraId="294B2690" w14:textId="77777777" w:rsidR="00125D48" w:rsidRPr="00173681" w:rsidRDefault="00000000">
      <w:pPr>
        <w:pStyle w:val="FitSM-Titlepage-version"/>
        <w:rPr>
          <w:lang w:val="fr-FR"/>
        </w:rPr>
      </w:pPr>
      <w:r w:rsidRPr="00173681">
        <w:rPr>
          <w:lang w:val="fr-FR"/>
        </w:rPr>
        <w:t xml:space="preserve">Version 3.0 </w:t>
      </w:r>
    </w:p>
    <w:p w14:paraId="43132347" w14:textId="77777777" w:rsidR="00125D48" w:rsidRPr="00173681" w:rsidRDefault="00125D48">
      <w:pPr>
        <w:pStyle w:val="Style1"/>
        <w:rPr>
          <w:i/>
          <w:iCs/>
          <w:lang w:val="fr-FR"/>
        </w:rPr>
      </w:pPr>
    </w:p>
    <w:p w14:paraId="503D20C6" w14:textId="77777777" w:rsidR="00125D48" w:rsidRPr="00173681" w:rsidRDefault="00000000">
      <w:pPr>
        <w:pStyle w:val="Body"/>
        <w:rPr>
          <w:lang w:val="fr-FR"/>
        </w:rPr>
        <w:sectPr w:rsidR="00125D48" w:rsidRPr="00173681">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20"/>
        </w:sectPr>
      </w:pPr>
      <w:r w:rsidRPr="00173681">
        <w:rPr>
          <w:i/>
          <w:iCs/>
          <w:noProof/>
          <w:lang w:val="fr-FR"/>
        </w:rPr>
        <w:drawing>
          <wp:anchor distT="0" distB="0" distL="0" distR="0" simplePos="0" relativeHeight="251664384" behindDoc="0" locked="0" layoutInCell="1" allowOverlap="1" wp14:anchorId="6C012B13" wp14:editId="03DE56FE">
            <wp:simplePos x="0" y="0"/>
            <wp:positionH relativeFrom="column">
              <wp:posOffset>267970</wp:posOffset>
            </wp:positionH>
            <wp:positionV relativeFrom="page">
              <wp:posOffset>10081260</wp:posOffset>
            </wp:positionV>
            <wp:extent cx="838200" cy="297180"/>
            <wp:effectExtent l="0" t="0" r="0" b="0"/>
            <wp:wrapNone/>
            <wp:docPr id="1073741830" name="officeArt object" descr="Grafik 2"/>
            <wp:cNvGraphicFramePr/>
            <a:graphic xmlns:a="http://schemas.openxmlformats.org/drawingml/2006/main">
              <a:graphicData uri="http://schemas.openxmlformats.org/drawingml/2006/picture">
                <pic:pic xmlns:pic="http://schemas.openxmlformats.org/drawingml/2006/picture">
                  <pic:nvPicPr>
                    <pic:cNvPr id="1073741830" name="Grafik 2" descr="Grafik 2"/>
                    <pic:cNvPicPr>
                      <a:picLocks noChangeAspect="1"/>
                    </pic:cNvPicPr>
                  </pic:nvPicPr>
                  <pic:blipFill>
                    <a:blip r:embed="rId16"/>
                    <a:stretch>
                      <a:fillRect/>
                    </a:stretch>
                  </pic:blipFill>
                  <pic:spPr>
                    <a:xfrm>
                      <a:off x="0" y="0"/>
                      <a:ext cx="838200" cy="297180"/>
                    </a:xfrm>
                    <a:prstGeom prst="rect">
                      <a:avLst/>
                    </a:prstGeom>
                    <a:ln w="12700" cap="flat">
                      <a:noFill/>
                      <a:miter lim="400000"/>
                    </a:ln>
                    <a:effectLst/>
                  </pic:spPr>
                </pic:pic>
              </a:graphicData>
            </a:graphic>
          </wp:anchor>
        </w:drawing>
      </w:r>
      <w:r w:rsidRPr="00173681">
        <w:rPr>
          <w:rStyle w:val="tlid-translation"/>
          <w:noProof/>
          <w:lang w:val="fr-FR"/>
        </w:rPr>
        <mc:AlternateContent>
          <mc:Choice Requires="wps">
            <w:drawing>
              <wp:anchor distT="0" distB="0" distL="0" distR="0" simplePos="0" relativeHeight="251663360" behindDoc="0" locked="0" layoutInCell="1" allowOverlap="1" wp14:anchorId="03BBEEB9" wp14:editId="5BC1D545">
                <wp:simplePos x="0" y="0"/>
                <wp:positionH relativeFrom="page">
                  <wp:posOffset>2433227</wp:posOffset>
                </wp:positionH>
                <wp:positionV relativeFrom="page">
                  <wp:posOffset>9915525</wp:posOffset>
                </wp:positionV>
                <wp:extent cx="3079750" cy="685800"/>
                <wp:effectExtent l="0" t="0" r="0" b="0"/>
                <wp:wrapNone/>
                <wp:docPr id="1073741831" name="officeArt object" descr="Text Box 1"/>
                <wp:cNvGraphicFramePr/>
                <a:graphic xmlns:a="http://schemas.openxmlformats.org/drawingml/2006/main">
                  <a:graphicData uri="http://schemas.microsoft.com/office/word/2010/wordprocessingShape">
                    <wps:wsp>
                      <wps:cNvSpPr txBox="1"/>
                      <wps:spPr>
                        <a:xfrm>
                          <a:off x="0" y="0"/>
                          <a:ext cx="3079750" cy="685800"/>
                        </a:xfrm>
                        <a:prstGeom prst="rect">
                          <a:avLst/>
                        </a:prstGeom>
                        <a:noFill/>
                        <a:ln w="12700" cap="flat">
                          <a:noFill/>
                          <a:miter lim="400000"/>
                        </a:ln>
                        <a:effectLst/>
                      </wps:spPr>
                      <wps:txbx>
                        <w:txbxContent>
                          <w:p w14:paraId="1520BABD" w14:textId="77777777" w:rsidR="00125D48" w:rsidRDefault="00000000">
                            <w:pPr>
                              <w:pStyle w:val="FitSM-acknowledgement-footer"/>
                              <w:rPr>
                                <w:u w:val="single"/>
                              </w:rPr>
                            </w:pPr>
                            <w:r>
                              <w:rPr>
                                <w:rStyle w:val="tlid-translation"/>
                              </w:rPr>
                              <w:t xml:space="preserve">This work is licensed under a </w:t>
                            </w:r>
                            <w:hyperlink r:id="rId17" w:history="1">
                              <w:r>
                                <w:rPr>
                                  <w:rStyle w:val="Hyperlink0"/>
                                </w:rPr>
                                <w:t>Creative Commons Attribution 4.0 International License.</w:t>
                              </w:r>
                            </w:hyperlink>
                          </w:p>
                          <w:p w14:paraId="23A89E6F" w14:textId="77777777" w:rsidR="00125D48" w:rsidRDefault="00000000">
                            <w:pPr>
                              <w:pStyle w:val="FitSM-acknowledgement-footer"/>
                            </w:pPr>
                            <w:hyperlink r:id="rId18" w:history="1">
                              <w:r>
                                <w:rPr>
                                  <w:rStyle w:val="Hyperlink0"/>
                                </w:rPr>
                                <w:t>www.fitsm.eu</w:t>
                              </w:r>
                            </w:hyperlink>
                          </w:p>
                        </w:txbxContent>
                      </wps:txbx>
                      <wps:bodyPr wrap="square" lIns="45719" tIns="45719" rIns="45719" bIns="45719" numCol="1" anchor="t">
                        <a:noAutofit/>
                      </wps:bodyPr>
                    </wps:wsp>
                  </a:graphicData>
                </a:graphic>
              </wp:anchor>
            </w:drawing>
          </mc:Choice>
          <mc:Fallback>
            <w:pict>
              <v:shapetype w14:anchorId="03BBEEB9" id="_x0000_t202" coordsize="21600,21600" o:spt="202" path="m,l,21600r21600,l21600,xe">
                <v:stroke joinstyle="miter"/>
                <v:path gradientshapeok="t" o:connecttype="rect"/>
              </v:shapetype>
              <v:shape id="officeArt object" o:spid="_x0000_s1026" type="#_x0000_t202" alt="Text Box 1" style="position:absolute;margin-left:191.6pt;margin-top:780.75pt;width:242.5pt;height:54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" filled="f" stroked="f" strokeweight="1pt">
                <v:stroke miterlimit="4"/>
                <v:textbox inset="1.27mm,1.27mm,1.27mm,1.27mm">
                  <w:txbxContent>
                    <w:p w14:paraId="1520BABD" w14:textId="77777777" w:rsidR="00125D48" w:rsidRDefault="00000000">
                      <w:pPr>
                        <w:pStyle w:val="FitSM-acknowledgement-footer"/>
                        <w:rPr>
                          <w:u w:val="single"/>
                        </w:rPr>
                      </w:pPr>
                      <w:r>
                        <w:rPr>
                          <w:rStyle w:val="tlid-translation"/>
                        </w:rPr>
                        <w:t xml:space="preserve">This work is licensed under a </w:t>
                      </w:r>
                      <w:hyperlink r:id="rId19" w:history="1">
                        <w:r>
                          <w:rPr>
                            <w:rStyle w:val="Hyperlink0"/>
                          </w:rPr>
                          <w:t>Creative Commons Attribution 4.0 International License.</w:t>
                        </w:r>
                      </w:hyperlink>
                    </w:p>
                    <w:p w14:paraId="23A89E6F" w14:textId="77777777" w:rsidR="00125D48" w:rsidRDefault="00000000">
                      <w:pPr>
                        <w:pStyle w:val="FitSM-acknowledgement-footer"/>
                      </w:pPr>
                      <w:hyperlink r:id="rId20" w:history="1">
                        <w:r>
                          <w:rPr>
                            <w:rStyle w:val="Hyperlink0"/>
                          </w:rPr>
                          <w:t>www.fitsm.eu</w:t>
                        </w:r>
                      </w:hyperlink>
                    </w:p>
                  </w:txbxContent>
                </v:textbox>
                <w10:wrap anchorx="page" anchory="page"/>
              </v:shape>
            </w:pict>
          </mc:Fallback>
        </mc:AlternateContent>
      </w:r>
      <w:r w:rsidRPr="00173681">
        <w:rPr>
          <w:rStyle w:val="tlid-translation"/>
          <w:noProof/>
          <w:lang w:val="fr-FR"/>
        </w:rPr>
        <w:drawing>
          <wp:anchor distT="0" distB="0" distL="0" distR="0" simplePos="0" relativeHeight="251661312" behindDoc="0" locked="0" layoutInCell="1" allowOverlap="1" wp14:anchorId="361F9C65" wp14:editId="75BFB0D8">
            <wp:simplePos x="0" y="0"/>
            <wp:positionH relativeFrom="column">
              <wp:posOffset>5036185</wp:posOffset>
            </wp:positionH>
            <wp:positionV relativeFrom="line">
              <wp:posOffset>6019165</wp:posOffset>
            </wp:positionV>
            <wp:extent cx="522605" cy="354965"/>
            <wp:effectExtent l="0" t="0" r="0" b="0"/>
            <wp:wrapNone/>
            <wp:docPr id="1073741832" name="officeArt object" descr="Macintosh HD:Users:owen:Google Drive:ETL online:FedSM:Branding:Useful logos etc:EC_logo.jpeg"/>
            <wp:cNvGraphicFramePr/>
            <a:graphic xmlns:a="http://schemas.openxmlformats.org/drawingml/2006/main">
              <a:graphicData uri="http://schemas.openxmlformats.org/drawingml/2006/picture">
                <pic:pic xmlns:pic="http://schemas.openxmlformats.org/drawingml/2006/picture">
                  <pic:nvPicPr>
                    <pic:cNvPr id="1073741832" name="Macintosh HD:Users:owen:Google Drive:ETL online:FedSM:Branding:Useful logos etc:EC_logo.jpeg" descr="Macintosh HD:Users:owen:Google Drive:ETL online:FedSM:Branding:Useful logos etc:EC_logo.jpeg"/>
                    <pic:cNvPicPr>
                      <a:picLocks noChangeAspect="1"/>
                    </pic:cNvPicPr>
                  </pic:nvPicPr>
                  <pic:blipFill>
                    <a:blip r:embed="rId21"/>
                    <a:stretch>
                      <a:fillRect/>
                    </a:stretch>
                  </pic:blipFill>
                  <pic:spPr>
                    <a:xfrm>
                      <a:off x="0" y="0"/>
                      <a:ext cx="522605" cy="354965"/>
                    </a:xfrm>
                    <a:prstGeom prst="rect">
                      <a:avLst/>
                    </a:prstGeom>
                    <a:ln w="12700" cap="flat">
                      <a:noFill/>
                      <a:miter lim="400000"/>
                    </a:ln>
                    <a:effectLst/>
                  </pic:spPr>
                </pic:pic>
              </a:graphicData>
            </a:graphic>
          </wp:anchor>
        </w:drawing>
      </w:r>
      <w:r w:rsidRPr="00173681">
        <w:rPr>
          <w:rStyle w:val="tlid-translation"/>
          <w:noProof/>
          <w:lang w:val="fr-FR"/>
        </w:rPr>
        <mc:AlternateContent>
          <mc:Choice Requires="wps">
            <w:drawing>
              <wp:anchor distT="0" distB="0" distL="0" distR="0" simplePos="0" relativeHeight="251662336" behindDoc="0" locked="0" layoutInCell="1" allowOverlap="1" wp14:anchorId="55F04CB9" wp14:editId="7EBC3197">
                <wp:simplePos x="0" y="0"/>
                <wp:positionH relativeFrom="column">
                  <wp:posOffset>538927</wp:posOffset>
                </wp:positionH>
                <wp:positionV relativeFrom="line">
                  <wp:posOffset>5047615</wp:posOffset>
                </wp:positionV>
                <wp:extent cx="5019332" cy="519695"/>
                <wp:effectExtent l="0" t="0" r="0" b="0"/>
                <wp:wrapNone/>
                <wp:docPr id="1073741833" name="officeArt object" descr="Text Box 17"/>
                <wp:cNvGraphicFramePr/>
                <a:graphic xmlns:a="http://schemas.openxmlformats.org/drawingml/2006/main">
                  <a:graphicData uri="http://schemas.microsoft.com/office/word/2010/wordprocessingShape">
                    <wps:wsp>
                      <wps:cNvSpPr txBox="1"/>
                      <wps:spPr>
                        <a:xfrm>
                          <a:off x="0" y="0"/>
                          <a:ext cx="5019332" cy="519695"/>
                        </a:xfrm>
                        <a:prstGeom prst="rect">
                          <a:avLst/>
                        </a:prstGeom>
                        <a:noFill/>
                        <a:ln w="6350" cap="flat">
                          <a:solidFill>
                            <a:srgbClr val="000000"/>
                          </a:solidFill>
                          <a:prstDash val="solid"/>
                          <a:round/>
                        </a:ln>
                        <a:effectLst/>
                      </wps:spPr>
                      <wps:txbx>
                        <w:txbxContent>
                          <w:p w14:paraId="2DBD962C" w14:textId="77777777" w:rsidR="00125D48" w:rsidRDefault="00000000">
                            <w:pPr>
                              <w:pStyle w:val="Body"/>
                              <w:rPr>
                                <w:sz w:val="16"/>
                                <w:szCs w:val="16"/>
                              </w:rPr>
                            </w:pPr>
                            <w:r>
                              <w:rPr>
                                <w:sz w:val="16"/>
                                <w:szCs w:val="16"/>
                                <w:lang w:val="fr-FR"/>
                              </w:rPr>
                              <w:t>Ce document est une traduction de la version Anglaise de FitSM-1. En cas de désaccord, la version Anglaise prévaut.</w:t>
                            </w:r>
                          </w:p>
                          <w:p w14:paraId="5D36DD51" w14:textId="77777777" w:rsidR="00125D48" w:rsidRDefault="00000000">
                            <w:pPr>
                              <w:pStyle w:val="Body"/>
                            </w:pPr>
                            <w:r>
                              <w:rPr>
                                <w:sz w:val="16"/>
                                <w:szCs w:val="16"/>
                                <w:lang w:val="en-US"/>
                              </w:rPr>
                              <w:t>This document is a translation of the English version of FitSM-1. In case of discrepancy, the English version prevails.</w:t>
                            </w:r>
                          </w:p>
                        </w:txbxContent>
                      </wps:txbx>
                      <wps:bodyPr wrap="square" lIns="45719" tIns="45719" rIns="45719" bIns="45719" numCol="1" anchor="t">
                        <a:noAutofit/>
                      </wps:bodyPr>
                    </wps:wsp>
                  </a:graphicData>
                </a:graphic>
              </wp:anchor>
            </w:drawing>
          </mc:Choice>
          <mc:Fallback>
            <w:pict>
              <v:shape w14:anchorId="55F04CB9" id="_x0000_s1027" type="#_x0000_t202" alt="Text Box 17" style="position:absolute;margin-left:42.45pt;margin-top:397.45pt;width:395.2pt;height:40.9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" filled="f" strokeweight=".5pt">
                <v:stroke joinstyle="round"/>
                <v:textbox inset="1.27mm,1.27mm,1.27mm,1.27mm">
                  <w:txbxContent>
                    <w:p w14:paraId="2DBD962C" w14:textId="77777777" w:rsidR="00125D48" w:rsidRDefault="00000000">
                      <w:pPr>
                        <w:pStyle w:val="Body"/>
                        <w:rPr>
                          <w:sz w:val="16"/>
                          <w:szCs w:val="16"/>
                        </w:rPr>
                      </w:pPr>
                      <w:r>
                        <w:rPr>
                          <w:sz w:val="16"/>
                          <w:szCs w:val="16"/>
                          <w:lang w:val="fr-FR"/>
                        </w:rPr>
                        <w:t>Ce document est une traduction de la version Anglaise de FitSM-1. En cas de désaccord, la version Anglaise prévaut.</w:t>
                      </w:r>
                    </w:p>
                    <w:p w14:paraId="5D36DD51" w14:textId="77777777" w:rsidR="00125D48" w:rsidRDefault="00000000">
                      <w:pPr>
                        <w:pStyle w:val="Body"/>
                      </w:pPr>
                      <w:r>
                        <w:rPr>
                          <w:sz w:val="16"/>
                          <w:szCs w:val="16"/>
                          <w:lang w:val="en-US"/>
                        </w:rPr>
                        <w:t>This document is a translation of the English version of FitSM-1. In case of discrepancy, the English version prevails.</w:t>
                      </w:r>
                    </w:p>
                  </w:txbxContent>
                </v:textbox>
                <w10:wrap anchory="line"/>
              </v:shape>
            </w:pict>
          </mc:Fallback>
        </mc:AlternateContent>
      </w:r>
      <w:r w:rsidRPr="00173681">
        <w:rPr>
          <w:rStyle w:val="tlid-translation"/>
          <w:noProof/>
          <w:lang w:val="fr-FR"/>
        </w:rPr>
        <w:drawing>
          <wp:anchor distT="0" distB="0" distL="0" distR="0" simplePos="0" relativeHeight="251657216" behindDoc="1" locked="0" layoutInCell="1" allowOverlap="1" wp14:anchorId="14C76CA3" wp14:editId="419F6994">
            <wp:simplePos x="0" y="0"/>
            <wp:positionH relativeFrom="page">
              <wp:posOffset>0</wp:posOffset>
            </wp:positionH>
            <wp:positionV relativeFrom="page">
              <wp:posOffset>9806530</wp:posOffset>
            </wp:positionV>
            <wp:extent cx="7563600" cy="885600"/>
            <wp:effectExtent l="0" t="0" r="0" b="0"/>
            <wp:wrapNone/>
            <wp:docPr id="1073741834" name="officeArt object" descr="Grafik 11"/>
            <wp:cNvGraphicFramePr/>
            <a:graphic xmlns:a="http://schemas.openxmlformats.org/drawingml/2006/main">
              <a:graphicData uri="http://schemas.openxmlformats.org/drawingml/2006/picture">
                <pic:pic xmlns:pic="http://schemas.openxmlformats.org/drawingml/2006/picture">
                  <pic:nvPicPr>
                    <pic:cNvPr id="1073741834" name="Grafik 11" descr="Grafik 11"/>
                    <pic:cNvPicPr>
                      <a:picLocks noChangeAspect="1"/>
                    </pic:cNvPicPr>
                  </pic:nvPicPr>
                  <pic:blipFill>
                    <a:blip r:embed="rId22"/>
                    <a:srcRect t="84500"/>
                    <a:stretch>
                      <a:fillRect/>
                    </a:stretch>
                  </pic:blipFill>
                  <pic:spPr>
                    <a:xfrm>
                      <a:off x="0" y="0"/>
                      <a:ext cx="7563600" cy="885600"/>
                    </a:xfrm>
                    <a:prstGeom prst="rect">
                      <a:avLst/>
                    </a:prstGeom>
                    <a:ln w="12700" cap="flat">
                      <a:noFill/>
                      <a:miter lim="400000"/>
                    </a:ln>
                    <a:effectLst/>
                  </pic:spPr>
                </pic:pic>
              </a:graphicData>
            </a:graphic>
          </wp:anchor>
        </w:drawing>
      </w:r>
      <w:r w:rsidRPr="00173681">
        <w:rPr>
          <w:lang w:val="fr-FR"/>
        </w:rPr>
        <w:tab/>
      </w:r>
      <w:r w:rsidRPr="00173681">
        <w:rPr>
          <w:lang w:val="fr-FR"/>
        </w:rPr>
        <w:tab/>
      </w:r>
    </w:p>
    <w:p w14:paraId="541F3ECB" w14:textId="77777777" w:rsidR="00125D48" w:rsidRPr="00173681" w:rsidRDefault="00000000">
      <w:pPr>
        <w:pStyle w:val="H1-non-ToC-FitSM"/>
        <w:rPr>
          <w:lang w:val="fr-FR"/>
        </w:rPr>
      </w:pPr>
      <w:r w:rsidRPr="00173681">
        <w:rPr>
          <w:lang w:val="fr-FR"/>
        </w:rPr>
        <w:lastRenderedPageBreak/>
        <w:t>Document control</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54"/>
        <w:gridCol w:w="6262"/>
      </w:tblGrid>
      <w:tr w:rsidR="00125D48" w:rsidRPr="00173681" w14:paraId="7B3A842B" w14:textId="77777777">
        <w:trPr>
          <w:trHeight w:val="221"/>
        </w:trPr>
        <w:tc>
          <w:tcPr>
            <w:tcW w:w="275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4DB8DD0B" w14:textId="77777777" w:rsidR="00125D48" w:rsidRPr="00173681" w:rsidRDefault="00000000" w:rsidP="0032665A">
            <w:pPr>
              <w:pStyle w:val="Body"/>
              <w:spacing w:after="0" w:line="240" w:lineRule="auto"/>
              <w:rPr>
                <w:lang w:val="fr-FR"/>
              </w:rPr>
            </w:pPr>
            <w:r w:rsidRPr="00173681">
              <w:rPr>
                <w:b/>
                <w:bCs/>
                <w:color w:val="1F4E79"/>
                <w:u w:color="1F4E79"/>
                <w:lang w:val="fr-FR"/>
              </w:rPr>
              <w:t>Titre du Document</w:t>
            </w:r>
          </w:p>
        </w:tc>
        <w:tc>
          <w:tcPr>
            <w:tcW w:w="626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4804CD08" w14:textId="77777777" w:rsidR="00125D48" w:rsidRPr="00173681" w:rsidRDefault="00000000" w:rsidP="0032665A">
            <w:pPr>
              <w:pStyle w:val="Body"/>
              <w:spacing w:after="0" w:line="240" w:lineRule="auto"/>
              <w:rPr>
                <w:lang w:val="fr-FR"/>
              </w:rPr>
            </w:pPr>
            <w:r w:rsidRPr="00173681">
              <w:rPr>
                <w:lang w:val="fr-FR"/>
              </w:rPr>
              <w:t xml:space="preserve">Partie 1 : Exigences </w:t>
            </w:r>
          </w:p>
        </w:tc>
      </w:tr>
      <w:tr w:rsidR="00125D48" w:rsidRPr="00173681" w14:paraId="61FC5BF1" w14:textId="77777777">
        <w:trPr>
          <w:trHeight w:val="221"/>
        </w:trPr>
        <w:tc>
          <w:tcPr>
            <w:tcW w:w="275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0EED64C7" w14:textId="77777777" w:rsidR="00125D48" w:rsidRPr="00173681" w:rsidRDefault="00000000" w:rsidP="0032665A">
            <w:pPr>
              <w:pStyle w:val="Body"/>
              <w:spacing w:after="0" w:line="240" w:lineRule="auto"/>
              <w:rPr>
                <w:lang w:val="fr-FR"/>
              </w:rPr>
            </w:pPr>
            <w:r w:rsidRPr="00173681">
              <w:rPr>
                <w:b/>
                <w:bCs/>
                <w:color w:val="1F4E79"/>
                <w:u w:color="1F4E79"/>
                <w:lang w:val="fr-FR"/>
              </w:rPr>
              <w:t>Version du Document</w:t>
            </w:r>
          </w:p>
        </w:tc>
        <w:tc>
          <w:tcPr>
            <w:tcW w:w="626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443FE336" w14:textId="77777777" w:rsidR="00125D48" w:rsidRPr="00173681" w:rsidRDefault="00000000" w:rsidP="0032665A">
            <w:pPr>
              <w:pStyle w:val="Body"/>
              <w:spacing w:after="0" w:line="240" w:lineRule="auto"/>
              <w:rPr>
                <w:lang w:val="fr-FR"/>
              </w:rPr>
            </w:pPr>
            <w:r w:rsidRPr="00173681">
              <w:rPr>
                <w:lang w:val="fr-FR"/>
              </w:rPr>
              <w:t>3.0</w:t>
            </w:r>
          </w:p>
        </w:tc>
      </w:tr>
      <w:tr w:rsidR="00125D48" w:rsidRPr="00173681" w14:paraId="5F5D5C06" w14:textId="77777777">
        <w:trPr>
          <w:trHeight w:val="221"/>
        </w:trPr>
        <w:tc>
          <w:tcPr>
            <w:tcW w:w="275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296017C6" w14:textId="77777777" w:rsidR="00125D48" w:rsidRPr="00173681" w:rsidRDefault="00000000" w:rsidP="0032665A">
            <w:pPr>
              <w:pStyle w:val="Body"/>
              <w:spacing w:after="0" w:line="240" w:lineRule="auto"/>
              <w:rPr>
                <w:lang w:val="fr-FR"/>
              </w:rPr>
            </w:pPr>
            <w:r w:rsidRPr="00173681">
              <w:rPr>
                <w:b/>
                <w:bCs/>
                <w:color w:val="1F4E79"/>
                <w:u w:color="1F4E79"/>
                <w:lang w:val="fr-FR"/>
              </w:rPr>
              <w:t>Date de sortie</w:t>
            </w:r>
          </w:p>
        </w:tc>
        <w:tc>
          <w:tcPr>
            <w:tcW w:w="626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667CDDFF" w14:textId="140C6ADB" w:rsidR="00125D48" w:rsidRPr="00173681" w:rsidRDefault="00000000" w:rsidP="0032665A">
            <w:pPr>
              <w:pStyle w:val="Body"/>
              <w:spacing w:after="0" w:line="240" w:lineRule="auto"/>
              <w:rPr>
                <w:lang w:val="fr-FR"/>
              </w:rPr>
            </w:pPr>
            <w:r w:rsidRPr="00173681">
              <w:rPr>
                <w:lang w:val="fr-FR"/>
              </w:rPr>
              <w:t>202</w:t>
            </w:r>
            <w:r w:rsidR="0032665A">
              <w:rPr>
                <w:lang w:val="fr-FR"/>
              </w:rPr>
              <w:t>3</w:t>
            </w:r>
            <w:r w:rsidRPr="00173681">
              <w:rPr>
                <w:lang w:val="fr-FR"/>
              </w:rPr>
              <w:t>-0</w:t>
            </w:r>
            <w:r w:rsidR="0032665A">
              <w:rPr>
                <w:lang w:val="fr-FR"/>
              </w:rPr>
              <w:t>6</w:t>
            </w:r>
            <w:r w:rsidRPr="00173681">
              <w:rPr>
                <w:lang w:val="fr-FR"/>
              </w:rPr>
              <w:t>-1</w:t>
            </w:r>
            <w:r w:rsidR="0032665A">
              <w:rPr>
                <w:lang w:val="fr-FR"/>
              </w:rPr>
              <w:t>5</w:t>
            </w:r>
          </w:p>
        </w:tc>
      </w:tr>
    </w:tbl>
    <w:p w14:paraId="1BA02A99" w14:textId="77777777" w:rsidR="00125D48" w:rsidRPr="00173681" w:rsidRDefault="00125D48">
      <w:pPr>
        <w:pStyle w:val="H1-non-ToC-FitSM"/>
        <w:widowControl w:val="0"/>
        <w:spacing w:line="240" w:lineRule="auto"/>
        <w:rPr>
          <w:lang w:val="fr-FR"/>
        </w:rPr>
      </w:pPr>
    </w:p>
    <w:p w14:paraId="6A8EEFF1" w14:textId="77777777" w:rsidR="00125D48" w:rsidRPr="00173681" w:rsidRDefault="00125D48">
      <w:pPr>
        <w:pStyle w:val="Body"/>
        <w:rPr>
          <w:rStyle w:val="tlid-translation"/>
          <w:lang w:val="fr-FR"/>
        </w:rPr>
      </w:pPr>
    </w:p>
    <w:p w14:paraId="0897F1E1" w14:textId="77777777" w:rsidR="00125D48" w:rsidRPr="00173681" w:rsidRDefault="00000000">
      <w:pPr>
        <w:pStyle w:val="TOCHeading"/>
        <w:rPr>
          <w:lang w:val="fr-FR"/>
        </w:rPr>
      </w:pPr>
      <w:r w:rsidRPr="00173681">
        <w:rPr>
          <w:lang w:val="fr-FR"/>
        </w:rPr>
        <w:t>Table des Matières</w:t>
      </w:r>
    </w:p>
    <w:p w14:paraId="27ED6840" w14:textId="6584178E" w:rsidR="00AA67F6" w:rsidRDefault="00000000">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173681">
        <w:rPr>
          <w:lang w:val="fr-FR"/>
        </w:rPr>
        <w:fldChar w:fldCharType="begin"/>
      </w:r>
      <w:r w:rsidRPr="00173681">
        <w:rPr>
          <w:lang w:val="fr-FR"/>
        </w:rPr>
        <w:instrText xml:space="preserve"> TOC \t "H1-FitSM, 1"</w:instrText>
      </w:r>
      <w:r w:rsidRPr="00173681">
        <w:rPr>
          <w:lang w:val="fr-FR"/>
        </w:rPr>
        <w:fldChar w:fldCharType="separate"/>
      </w:r>
      <w:r w:rsidR="00AA67F6" w:rsidRPr="00A15F8F">
        <w:rPr>
          <w:rFonts w:hAnsi="Arial Unicode MS"/>
          <w:noProof/>
        </w:rPr>
        <w:t>1.</w:t>
      </w:r>
      <w:r w:rsidR="00AA67F6" w:rsidRPr="00A15F8F">
        <w:rPr>
          <w:rFonts w:eastAsia="Arial Unicode MS" w:cs="Arial Unicode MS"/>
          <w:noProof/>
        </w:rPr>
        <w:t xml:space="preserve"> Avant-propos</w:t>
      </w:r>
      <w:r w:rsidR="00AA67F6">
        <w:rPr>
          <w:noProof/>
        </w:rPr>
        <w:tab/>
      </w:r>
      <w:r w:rsidR="00AA67F6">
        <w:rPr>
          <w:noProof/>
        </w:rPr>
        <w:fldChar w:fldCharType="begin"/>
      </w:r>
      <w:r w:rsidR="00AA67F6">
        <w:rPr>
          <w:noProof/>
        </w:rPr>
        <w:instrText xml:space="preserve"> PAGEREF _Toc137846770 \h </w:instrText>
      </w:r>
      <w:r w:rsidR="00AA67F6">
        <w:rPr>
          <w:noProof/>
        </w:rPr>
      </w:r>
      <w:r w:rsidR="00AA67F6">
        <w:rPr>
          <w:noProof/>
        </w:rPr>
        <w:fldChar w:fldCharType="separate"/>
      </w:r>
      <w:r w:rsidR="00AA67F6">
        <w:rPr>
          <w:noProof/>
        </w:rPr>
        <w:t>1</w:t>
      </w:r>
      <w:r w:rsidR="00AA67F6">
        <w:rPr>
          <w:noProof/>
        </w:rPr>
        <w:fldChar w:fldCharType="end"/>
      </w:r>
    </w:p>
    <w:p w14:paraId="59C52A07" w14:textId="60C7A4D5" w:rsidR="00AA67F6" w:rsidRDefault="00AA67F6">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A15F8F">
        <w:rPr>
          <w:rFonts w:hAnsi="Arial Unicode MS"/>
          <w:noProof/>
        </w:rPr>
        <w:t>2.</w:t>
      </w:r>
      <w:r w:rsidRPr="00A15F8F">
        <w:rPr>
          <w:rFonts w:eastAsia="Arial Unicode MS" w:cs="Arial Unicode MS"/>
          <w:noProof/>
        </w:rPr>
        <w:t xml:space="preserve"> A propos de ce document</w:t>
      </w:r>
      <w:r>
        <w:rPr>
          <w:noProof/>
        </w:rPr>
        <w:tab/>
      </w:r>
      <w:r>
        <w:rPr>
          <w:noProof/>
        </w:rPr>
        <w:fldChar w:fldCharType="begin"/>
      </w:r>
      <w:r>
        <w:rPr>
          <w:noProof/>
        </w:rPr>
        <w:instrText xml:space="preserve"> PAGEREF _Toc137846771 \h </w:instrText>
      </w:r>
      <w:r>
        <w:rPr>
          <w:noProof/>
        </w:rPr>
      </w:r>
      <w:r>
        <w:rPr>
          <w:noProof/>
        </w:rPr>
        <w:fldChar w:fldCharType="separate"/>
      </w:r>
      <w:r>
        <w:rPr>
          <w:noProof/>
        </w:rPr>
        <w:t>2</w:t>
      </w:r>
      <w:r>
        <w:rPr>
          <w:noProof/>
        </w:rPr>
        <w:fldChar w:fldCharType="end"/>
      </w:r>
    </w:p>
    <w:p w14:paraId="7BEA3305" w14:textId="6AC377AB" w:rsidR="00AA67F6" w:rsidRDefault="00AA67F6">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A15F8F">
        <w:rPr>
          <w:rFonts w:hAnsi="Arial Unicode MS"/>
          <w:noProof/>
        </w:rPr>
        <w:t>3.</w:t>
      </w:r>
      <w:r w:rsidRPr="00A15F8F">
        <w:rPr>
          <w:rFonts w:eastAsia="Arial Unicode MS" w:cs="Arial Unicode MS"/>
          <w:noProof/>
        </w:rPr>
        <w:t xml:space="preserve"> Exigences générales pour un système de gestion des services informatiques</w:t>
      </w:r>
      <w:r>
        <w:rPr>
          <w:noProof/>
        </w:rPr>
        <w:tab/>
      </w:r>
      <w:r>
        <w:rPr>
          <w:noProof/>
        </w:rPr>
        <w:fldChar w:fldCharType="begin"/>
      </w:r>
      <w:r>
        <w:rPr>
          <w:noProof/>
        </w:rPr>
        <w:instrText xml:space="preserve"> PAGEREF _Toc137846772 \h </w:instrText>
      </w:r>
      <w:r>
        <w:rPr>
          <w:noProof/>
        </w:rPr>
      </w:r>
      <w:r>
        <w:rPr>
          <w:noProof/>
        </w:rPr>
        <w:fldChar w:fldCharType="separate"/>
      </w:r>
      <w:r>
        <w:rPr>
          <w:noProof/>
        </w:rPr>
        <w:t>3</w:t>
      </w:r>
      <w:r>
        <w:rPr>
          <w:noProof/>
        </w:rPr>
        <w:fldChar w:fldCharType="end"/>
      </w:r>
    </w:p>
    <w:p w14:paraId="62B436E8" w14:textId="21778820" w:rsidR="00AA67F6" w:rsidRDefault="00AA67F6">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A15F8F">
        <w:rPr>
          <w:rFonts w:hAnsi="Arial Unicode MS"/>
          <w:noProof/>
        </w:rPr>
        <w:t>4.</w:t>
      </w:r>
      <w:r w:rsidRPr="00A15F8F">
        <w:rPr>
          <w:rFonts w:eastAsia="Arial Unicode MS" w:cs="Arial Unicode MS"/>
          <w:noProof/>
        </w:rPr>
        <w:t xml:space="preserve"> Exigences spécifiques aux processus</w:t>
      </w:r>
      <w:r>
        <w:rPr>
          <w:noProof/>
        </w:rPr>
        <w:tab/>
      </w:r>
      <w:r>
        <w:rPr>
          <w:noProof/>
        </w:rPr>
        <w:fldChar w:fldCharType="begin"/>
      </w:r>
      <w:r>
        <w:rPr>
          <w:noProof/>
        </w:rPr>
        <w:instrText xml:space="preserve"> PAGEREF _Toc137846773 \h </w:instrText>
      </w:r>
      <w:r>
        <w:rPr>
          <w:noProof/>
        </w:rPr>
      </w:r>
      <w:r>
        <w:rPr>
          <w:noProof/>
        </w:rPr>
        <w:fldChar w:fldCharType="separate"/>
      </w:r>
      <w:r>
        <w:rPr>
          <w:noProof/>
        </w:rPr>
        <w:t>6</w:t>
      </w:r>
      <w:r>
        <w:rPr>
          <w:noProof/>
        </w:rPr>
        <w:fldChar w:fldCharType="end"/>
      </w:r>
    </w:p>
    <w:p w14:paraId="0CC29D6A" w14:textId="36AB584B" w:rsidR="00125D48" w:rsidRPr="00173681" w:rsidRDefault="00000000">
      <w:pPr>
        <w:pStyle w:val="Body"/>
        <w:rPr>
          <w:rStyle w:val="tlid-translation"/>
          <w:lang w:val="fr-FR"/>
        </w:rPr>
      </w:pPr>
      <w:r w:rsidRPr="00173681">
        <w:rPr>
          <w:lang w:val="fr-FR"/>
        </w:rPr>
        <w:fldChar w:fldCharType="end"/>
      </w:r>
    </w:p>
    <w:p w14:paraId="211D9E16" w14:textId="77777777" w:rsidR="00125D48" w:rsidRPr="00173681" w:rsidRDefault="00125D48">
      <w:pPr>
        <w:pStyle w:val="Body"/>
        <w:rPr>
          <w:rStyle w:val="tlid-translation"/>
          <w:lang w:val="fr-FR"/>
        </w:rPr>
      </w:pPr>
    </w:p>
    <w:p w14:paraId="08467CC6" w14:textId="77777777" w:rsidR="00125D48" w:rsidRPr="00173681" w:rsidRDefault="00125D48">
      <w:pPr>
        <w:pStyle w:val="Body"/>
        <w:rPr>
          <w:rStyle w:val="tlid-translation"/>
          <w:lang w:val="fr-FR"/>
        </w:rPr>
      </w:pPr>
    </w:p>
    <w:p w14:paraId="132D760C" w14:textId="77777777" w:rsidR="00125D48" w:rsidRPr="00173681" w:rsidRDefault="00125D48">
      <w:pPr>
        <w:pStyle w:val="H1-non-ToC-FitSM"/>
        <w:rPr>
          <w:lang w:val="fr-FR"/>
        </w:rPr>
        <w:sectPr w:rsidR="00125D48" w:rsidRPr="00173681">
          <w:headerReference w:type="default" r:id="rId23"/>
          <w:footerReference w:type="default" r:id="rId24"/>
          <w:pgSz w:w="11900" w:h="16840"/>
          <w:pgMar w:top="1440" w:right="1440" w:bottom="1440" w:left="1440" w:header="708" w:footer="708" w:gutter="0"/>
          <w:cols w:space="720"/>
        </w:sectPr>
      </w:pPr>
    </w:p>
    <w:p w14:paraId="42706601" w14:textId="26E48DCF" w:rsidR="00125D48" w:rsidRPr="0032665A" w:rsidRDefault="0032665A" w:rsidP="0032665A">
      <w:pPr>
        <w:pStyle w:val="H1-FitSM"/>
        <w:numPr>
          <w:ilvl w:val="0"/>
          <w:numId w:val="6"/>
        </w:numPr>
        <w:rPr>
          <w:rStyle w:val="tlid-translation"/>
        </w:rPr>
      </w:pPr>
      <w:r>
        <w:rPr>
          <w:rStyle w:val="tlid-translation"/>
          <w:rFonts w:eastAsia="Arial Unicode MS" w:cs="Arial Unicode MS"/>
        </w:rPr>
        <w:lastRenderedPageBreak/>
        <w:t xml:space="preserve"> </w:t>
      </w:r>
      <w:bookmarkStart w:id="0" w:name="_Toc137846770"/>
      <w:r w:rsidRPr="00173681">
        <w:rPr>
          <w:rStyle w:val="tlid-translation"/>
          <w:rFonts w:eastAsia="Arial Unicode MS" w:cs="Arial Unicode MS"/>
        </w:rPr>
        <w:t>Avant-propos</w:t>
      </w:r>
      <w:bookmarkEnd w:id="0"/>
    </w:p>
    <w:p w14:paraId="6D06116C" w14:textId="77777777" w:rsidR="00125D48" w:rsidRPr="00173681" w:rsidRDefault="00000000" w:rsidP="00772A11">
      <w:pPr>
        <w:pStyle w:val="Body"/>
        <w:jc w:val="both"/>
        <w:rPr>
          <w:rStyle w:val="tlid-translation"/>
          <w:lang w:val="fr-FR"/>
        </w:rPr>
      </w:pPr>
      <w:r w:rsidRPr="00173681">
        <w:rPr>
          <w:lang w:val="fr-FR"/>
        </w:rPr>
        <w:t xml:space="preserve">FitSM est une famille de normes légères visant à soutenir la mise en œuvre de la gestion des services informatiques (ITSM), y compris les fédérations et les scénarios </w:t>
      </w:r>
      <w:proofErr w:type="spellStart"/>
      <w:r w:rsidRPr="00173681">
        <w:rPr>
          <w:lang w:val="fr-FR"/>
        </w:rPr>
        <w:t>multi-fournisseurs</w:t>
      </w:r>
      <w:proofErr w:type="spellEnd"/>
      <w:r w:rsidRPr="00173681">
        <w:rPr>
          <w:lang w:val="fr-FR"/>
        </w:rPr>
        <w:t>. L'approche FitSM repose sur quatre principes clés : praticité, cohérence, suffisance et extensibilité.</w:t>
      </w:r>
    </w:p>
    <w:p w14:paraId="1CD74D01" w14:textId="69358E54" w:rsidR="00125D48" w:rsidRPr="00173681" w:rsidRDefault="00000000" w:rsidP="00772A11">
      <w:pPr>
        <w:pStyle w:val="Body"/>
        <w:jc w:val="both"/>
        <w:rPr>
          <w:rStyle w:val="tlid-translation"/>
          <w:lang w:val="fr-FR"/>
        </w:rPr>
      </w:pPr>
      <w:r w:rsidRPr="00173681">
        <w:rPr>
          <w:lang w:val="fr-FR"/>
        </w:rPr>
        <w:t>FitSM est, et restera, gratuit pour tout le monde. Cela concerne toutes les parties de la norme, y compris les pièces essentielles et les aides à la mise en œuvre. Toutes les parties de la norme FitSM et les documents connexes publiés par le groupe de travail FitSM sont concédés sous licence « Creative Commons International License ».</w:t>
      </w:r>
    </w:p>
    <w:p w14:paraId="0AB1E114" w14:textId="552347C8" w:rsidR="00125D48" w:rsidRPr="00173681" w:rsidRDefault="00000000" w:rsidP="00772A11">
      <w:pPr>
        <w:pStyle w:val="Body"/>
        <w:jc w:val="both"/>
        <w:rPr>
          <w:rStyle w:val="tlid-translation"/>
          <w:lang w:val="fr-FR"/>
        </w:rPr>
      </w:pPr>
      <w:r w:rsidRPr="00173681">
        <w:rPr>
          <w:lang w:val="fr-FR"/>
        </w:rPr>
        <w:t xml:space="preserve">La Commission européenne a apporté son soutien au développement de FitSM dans le cadre du 7e programme-cadre. FitSM est détenu et maintenu par ITEMO </w:t>
      </w:r>
      <w:proofErr w:type="spellStart"/>
      <w:r w:rsidRPr="00173681">
        <w:rPr>
          <w:lang w:val="fr-FR"/>
        </w:rPr>
        <w:t>e.V.</w:t>
      </w:r>
      <w:proofErr w:type="spellEnd"/>
      <w:r w:rsidRPr="00173681">
        <w:rPr>
          <w:lang w:val="fr-FR"/>
        </w:rPr>
        <w:t>, une association à but non lucratif rassemblant des spécialistes dans le domaine de la gestion informatique, y compris des experts de l'industrie et de la recherche.</w:t>
      </w:r>
    </w:p>
    <w:p w14:paraId="65147B34" w14:textId="55282576" w:rsidR="00125D48" w:rsidRPr="00173681" w:rsidRDefault="00000000" w:rsidP="00772A11">
      <w:pPr>
        <w:pStyle w:val="Body"/>
        <w:jc w:val="both"/>
        <w:rPr>
          <w:rStyle w:val="tlid-translation"/>
          <w:lang w:val="fr-FR"/>
        </w:rPr>
      </w:pPr>
      <w:r w:rsidRPr="00173681">
        <w:rPr>
          <w:lang w:val="fr-FR"/>
        </w:rPr>
        <w:t>FitSM est conçu pour être compatible avec d'autres référentiels et normes ITSM tels que la norme internationale ISO/IEC 20000 ou le guide de bonnes pratiques ITIL. Cependant, le modèle de processus FitSM, les exigences, les activités recommandées et le modèle de rôles visent une implémentation légère et plus facilement réalisable. La famille FitSM est composée de plusieurs documents, fournissant des conseils et des contributions sur différents aspects de l'ITSM :</w:t>
      </w:r>
    </w:p>
    <w:p w14:paraId="5DC769E8" w14:textId="77777777" w:rsidR="00125D48" w:rsidRPr="00173681" w:rsidRDefault="00000000" w:rsidP="00772A11">
      <w:pPr>
        <w:pStyle w:val="ListParagraph"/>
        <w:numPr>
          <w:ilvl w:val="0"/>
          <w:numId w:val="8"/>
        </w:numPr>
        <w:spacing w:before="60" w:after="60"/>
        <w:ind w:hanging="357"/>
        <w:rPr>
          <w:lang w:val="fr-FR"/>
        </w:rPr>
      </w:pPr>
      <w:r w:rsidRPr="00173681">
        <w:rPr>
          <w:lang w:val="fr-FR"/>
        </w:rPr>
        <w:t>FitSM-0 : Aperçu et vocabulaire</w:t>
      </w:r>
    </w:p>
    <w:p w14:paraId="4636D853" w14:textId="77777777" w:rsidR="00125D48" w:rsidRPr="00173681" w:rsidRDefault="00000000" w:rsidP="00772A11">
      <w:pPr>
        <w:pStyle w:val="ListParagraph"/>
        <w:numPr>
          <w:ilvl w:val="0"/>
          <w:numId w:val="8"/>
        </w:numPr>
        <w:spacing w:before="60" w:after="60"/>
        <w:ind w:hanging="357"/>
        <w:rPr>
          <w:lang w:val="fr-FR"/>
        </w:rPr>
      </w:pPr>
      <w:r w:rsidRPr="00173681">
        <w:rPr>
          <w:lang w:val="fr-FR"/>
        </w:rPr>
        <w:t>FitSM-1 : Exigences (ce document)</w:t>
      </w:r>
    </w:p>
    <w:p w14:paraId="4115C956" w14:textId="77777777" w:rsidR="00125D48" w:rsidRPr="00173681" w:rsidRDefault="00000000" w:rsidP="00772A11">
      <w:pPr>
        <w:pStyle w:val="ListParagraph"/>
        <w:numPr>
          <w:ilvl w:val="0"/>
          <w:numId w:val="8"/>
        </w:numPr>
        <w:spacing w:before="60" w:after="60"/>
        <w:ind w:hanging="357"/>
        <w:rPr>
          <w:lang w:val="fr-FR"/>
        </w:rPr>
      </w:pPr>
      <w:r w:rsidRPr="00173681">
        <w:rPr>
          <w:lang w:val="fr-FR"/>
        </w:rPr>
        <w:t>FitSM-2 : Processus et mise en œuvre</w:t>
      </w:r>
    </w:p>
    <w:p w14:paraId="7BD9B245" w14:textId="77777777" w:rsidR="00125D48" w:rsidRPr="00173681" w:rsidRDefault="00000000" w:rsidP="00772A11">
      <w:pPr>
        <w:pStyle w:val="ListParagraph"/>
        <w:numPr>
          <w:ilvl w:val="0"/>
          <w:numId w:val="8"/>
        </w:numPr>
        <w:spacing w:before="60" w:after="60"/>
        <w:ind w:hanging="357"/>
        <w:rPr>
          <w:lang w:val="fr-FR"/>
        </w:rPr>
      </w:pPr>
      <w:r w:rsidRPr="00173681">
        <w:rPr>
          <w:lang w:val="fr-FR"/>
        </w:rPr>
        <w:t xml:space="preserve">FitSM-3 : Modèle de Rôles </w:t>
      </w:r>
    </w:p>
    <w:p w14:paraId="6998EC96" w14:textId="77777777" w:rsidR="00125D48" w:rsidRPr="00173681" w:rsidRDefault="00000000" w:rsidP="00772A11">
      <w:pPr>
        <w:pStyle w:val="ListParagraph"/>
        <w:numPr>
          <w:ilvl w:val="0"/>
          <w:numId w:val="8"/>
        </w:numPr>
        <w:spacing w:before="60" w:after="60"/>
        <w:ind w:hanging="357"/>
        <w:rPr>
          <w:lang w:val="fr-FR"/>
        </w:rPr>
      </w:pPr>
      <w:r w:rsidRPr="00173681">
        <w:rPr>
          <w:lang w:val="fr-FR"/>
        </w:rPr>
        <w:t>FitSM-4 : Modèles et exemples</w:t>
      </w:r>
      <w:r w:rsidRPr="00173681">
        <w:rPr>
          <w:i/>
          <w:iCs/>
          <w:lang w:val="fr-FR"/>
        </w:rPr>
        <w:t xml:space="preserve"> (ensemble de documents en constante évolution)</w:t>
      </w:r>
    </w:p>
    <w:p w14:paraId="2AB92982" w14:textId="77777777" w:rsidR="00125D48" w:rsidRPr="00173681" w:rsidRDefault="00000000" w:rsidP="00772A11">
      <w:pPr>
        <w:pStyle w:val="ListParagraph"/>
        <w:numPr>
          <w:ilvl w:val="0"/>
          <w:numId w:val="8"/>
        </w:numPr>
        <w:spacing w:before="60" w:after="60"/>
        <w:ind w:hanging="357"/>
        <w:rPr>
          <w:i/>
          <w:iCs/>
          <w:lang w:val="fr-FR"/>
        </w:rPr>
      </w:pPr>
      <w:r w:rsidRPr="00173681">
        <w:rPr>
          <w:lang w:val="fr-FR"/>
        </w:rPr>
        <w:t xml:space="preserve">FitSM-5 : Guides d’implémentation </w:t>
      </w:r>
      <w:r w:rsidRPr="00173681">
        <w:rPr>
          <w:i/>
          <w:iCs/>
          <w:lang w:val="fr-FR"/>
        </w:rPr>
        <w:t>(ensemble de documents en constante évolution)</w:t>
      </w:r>
    </w:p>
    <w:p w14:paraId="1C7A331A" w14:textId="77777777" w:rsidR="00125D48" w:rsidRPr="00173681" w:rsidRDefault="00000000" w:rsidP="00772A11">
      <w:pPr>
        <w:pStyle w:val="ListParagraph"/>
        <w:numPr>
          <w:ilvl w:val="0"/>
          <w:numId w:val="8"/>
        </w:numPr>
        <w:spacing w:before="60" w:after="160"/>
        <w:ind w:hanging="357"/>
        <w:rPr>
          <w:lang w:val="fr-FR"/>
        </w:rPr>
      </w:pPr>
      <w:r w:rsidRPr="00173681">
        <w:rPr>
          <w:lang w:val="fr-FR"/>
        </w:rPr>
        <w:t xml:space="preserve">FitSM-6 : </w:t>
      </w:r>
      <w:bookmarkStart w:id="1" w:name="OLE_LINK23"/>
      <w:r w:rsidRPr="00173681">
        <w:rPr>
          <w:lang w:val="fr-FR"/>
        </w:rPr>
        <w:t>S</w:t>
      </w:r>
      <w:bookmarkStart w:id="2" w:name="OLE_LINK30"/>
      <w:bookmarkEnd w:id="1"/>
      <w:r w:rsidRPr="00173681">
        <w:rPr>
          <w:lang w:val="fr-FR"/>
        </w:rPr>
        <w:t>chéma d’évaluation de la maturité et des capacités</w:t>
      </w:r>
      <w:bookmarkEnd w:id="2"/>
      <w:r w:rsidRPr="00173681">
        <w:rPr>
          <w:lang w:val="fr-FR"/>
        </w:rPr>
        <w:t xml:space="preserve"> </w:t>
      </w:r>
    </w:p>
    <w:p w14:paraId="17071BE1" w14:textId="77777777" w:rsidR="00125D48" w:rsidRPr="00173681" w:rsidRDefault="00000000">
      <w:pPr>
        <w:pStyle w:val="Body"/>
        <w:jc w:val="both"/>
        <w:rPr>
          <w:rStyle w:val="tlid-translation"/>
          <w:lang w:val="fr-FR"/>
        </w:rPr>
      </w:pPr>
      <w:r w:rsidRPr="00173681">
        <w:rPr>
          <w:lang w:val="fr-FR"/>
        </w:rPr>
        <w:t xml:space="preserve">Tous les documents sont disponibles et publiés dans leur version la plus récente sur le site </w:t>
      </w:r>
      <w:hyperlink r:id="rId25" w:history="1">
        <w:r w:rsidRPr="00173681">
          <w:rPr>
            <w:rStyle w:val="Hyperlink1"/>
          </w:rPr>
          <w:t>www.fitsm.eu</w:t>
        </w:r>
      </w:hyperlink>
      <w:r w:rsidRPr="00173681">
        <w:rPr>
          <w:lang w:val="fr-FR"/>
        </w:rPr>
        <w:t>.</w:t>
      </w:r>
    </w:p>
    <w:p w14:paraId="06C53965" w14:textId="77777777" w:rsidR="00125D48" w:rsidRPr="00173681" w:rsidRDefault="00125D48">
      <w:pPr>
        <w:pStyle w:val="Body"/>
        <w:jc w:val="both"/>
        <w:rPr>
          <w:rStyle w:val="tlid-translation"/>
          <w:lang w:val="fr-FR"/>
        </w:rPr>
      </w:pPr>
    </w:p>
    <w:p w14:paraId="57378313" w14:textId="77777777" w:rsidR="00125D48" w:rsidRPr="00173681" w:rsidRDefault="00000000">
      <w:pPr>
        <w:pStyle w:val="H1-FitSM"/>
        <w:ind w:left="357" w:firstLine="0"/>
      </w:pPr>
      <w:r w:rsidRPr="00173681">
        <w:rPr>
          <w:rStyle w:val="tlid-translation"/>
          <w:rFonts w:ascii="Arial Unicode MS" w:eastAsia="Arial Unicode MS" w:hAnsi="Arial Unicode MS" w:cs="Arial Unicode MS"/>
        </w:rPr>
        <w:br w:type="page"/>
      </w:r>
    </w:p>
    <w:p w14:paraId="788FE471" w14:textId="5EE14F7E" w:rsidR="00125D48" w:rsidRPr="00772A11" w:rsidRDefault="00772A11" w:rsidP="00772A11">
      <w:pPr>
        <w:pStyle w:val="H1-FitSM"/>
        <w:numPr>
          <w:ilvl w:val="0"/>
          <w:numId w:val="9"/>
        </w:numPr>
        <w:rPr>
          <w:rStyle w:val="tlid-translation"/>
        </w:rPr>
      </w:pPr>
      <w:r>
        <w:rPr>
          <w:rStyle w:val="tlid-translation"/>
          <w:rFonts w:eastAsia="Arial Unicode MS" w:cs="Arial Unicode MS"/>
        </w:rPr>
        <w:lastRenderedPageBreak/>
        <w:t xml:space="preserve"> </w:t>
      </w:r>
      <w:bookmarkStart w:id="3" w:name="_Toc137846771"/>
      <w:r w:rsidRPr="00173681">
        <w:rPr>
          <w:rStyle w:val="tlid-translation"/>
          <w:rFonts w:eastAsia="Arial Unicode MS" w:cs="Arial Unicode MS"/>
        </w:rPr>
        <w:t>A propos de ce document</w:t>
      </w:r>
      <w:bookmarkEnd w:id="3"/>
    </w:p>
    <w:p w14:paraId="433BB58B" w14:textId="1C2D3C7A" w:rsidR="00125D48" w:rsidRPr="00173681" w:rsidRDefault="00000000">
      <w:pPr>
        <w:pStyle w:val="Body"/>
        <w:jc w:val="both"/>
        <w:rPr>
          <w:rStyle w:val="tlid-translation"/>
          <w:lang w:val="fr-FR"/>
        </w:rPr>
      </w:pPr>
      <w:r w:rsidRPr="00173681">
        <w:rPr>
          <w:lang w:val="fr-FR"/>
        </w:rPr>
        <w:t>Les exigences présentées dans cette partie de la série de normes FitSM visent à soutenir des processus de gestion des services informatiques (ITSM) efficaces et légers dans une organisation (ou une partie d'une organisation) fournissant des services informatiques aux clients et harmonisant la gestion des services informatiques entre les fédérations et les fournisseurs multiples.</w:t>
      </w:r>
    </w:p>
    <w:p w14:paraId="64B05DF3" w14:textId="77777777" w:rsidR="00125D48" w:rsidRPr="00173681" w:rsidRDefault="00000000">
      <w:pPr>
        <w:pStyle w:val="Body"/>
        <w:jc w:val="both"/>
        <w:rPr>
          <w:rStyle w:val="tlid-translation"/>
          <w:lang w:val="fr-FR"/>
        </w:rPr>
      </w:pPr>
      <w:r w:rsidRPr="00173681">
        <w:rPr>
          <w:lang w:val="fr-FR"/>
        </w:rPr>
        <w:t>Cette partie de la norme fournit :</w:t>
      </w:r>
    </w:p>
    <w:p w14:paraId="5D1125EB" w14:textId="7E4C3675" w:rsidR="00125D48" w:rsidRPr="00173681" w:rsidRDefault="00000000" w:rsidP="00772A11">
      <w:pPr>
        <w:pStyle w:val="Body"/>
        <w:numPr>
          <w:ilvl w:val="0"/>
          <w:numId w:val="34"/>
        </w:numPr>
        <w:spacing w:before="60" w:after="60" w:line="276" w:lineRule="auto"/>
        <w:ind w:left="714" w:hanging="357"/>
        <w:jc w:val="both"/>
        <w:rPr>
          <w:rStyle w:val="tlid-translation"/>
          <w:lang w:val="fr-FR"/>
        </w:rPr>
      </w:pPr>
      <w:r w:rsidRPr="00173681">
        <w:rPr>
          <w:lang w:val="fr-FR"/>
        </w:rPr>
        <w:t>17 exigences générales pour la mise en œuvre d’un système de gestion des services (SMS), regroupées en 7 catégories ;</w:t>
      </w:r>
    </w:p>
    <w:p w14:paraId="75E87EC3" w14:textId="62E7354E" w:rsidR="00125D48" w:rsidRPr="00173681" w:rsidRDefault="00000000" w:rsidP="00772A11">
      <w:pPr>
        <w:pStyle w:val="Body"/>
        <w:numPr>
          <w:ilvl w:val="0"/>
          <w:numId w:val="34"/>
        </w:numPr>
        <w:spacing w:before="60" w:line="276" w:lineRule="auto"/>
        <w:ind w:left="714" w:hanging="357"/>
        <w:jc w:val="both"/>
        <w:rPr>
          <w:rStyle w:val="tlid-translation"/>
          <w:lang w:val="fr-FR"/>
        </w:rPr>
      </w:pPr>
      <w:r w:rsidRPr="00173681">
        <w:rPr>
          <w:lang w:val="fr-FR"/>
        </w:rPr>
        <w:t>65 exigences spécifiques aux différents processus pour la mise en œuvre d’un SMS, regroupées en 14 catégories selon le modèle de processus FitSM comme décrit dans FitSM-0.</w:t>
      </w:r>
    </w:p>
    <w:p w14:paraId="7353E93C" w14:textId="77777777" w:rsidR="00125D48" w:rsidRPr="00173681" w:rsidRDefault="00000000" w:rsidP="00772A11">
      <w:pPr>
        <w:pStyle w:val="Body"/>
        <w:jc w:val="both"/>
        <w:rPr>
          <w:rStyle w:val="tlid-translation"/>
          <w:lang w:val="fr-FR"/>
        </w:rPr>
      </w:pPr>
      <w:r w:rsidRPr="00173681">
        <w:rPr>
          <w:lang w:val="fr-FR"/>
        </w:rPr>
        <w:t>Cette norme s'applique à tous les types d'organisations (par exemple : entreprises commerciales, agences gouvernementales, organisations à but non lucratif, etc.) à partir desquelles des services informatiques sont fournis, quels que soient leur type, leur taille et la nature des services fournis.</w:t>
      </w:r>
    </w:p>
    <w:p w14:paraId="7527A04D" w14:textId="77777777" w:rsidR="00125D48" w:rsidRPr="00173681" w:rsidRDefault="00000000" w:rsidP="00772A11">
      <w:pPr>
        <w:pStyle w:val="Body"/>
        <w:jc w:val="both"/>
        <w:rPr>
          <w:rStyle w:val="tlid-translation"/>
          <w:lang w:val="fr-FR"/>
        </w:rPr>
      </w:pPr>
      <w:r w:rsidRPr="00173681">
        <w:rPr>
          <w:lang w:val="fr-FR"/>
        </w:rPr>
        <w:t>Pour les besoins de la présente norme, les termes et définitions selon FitSM-0 : Aperçu et vocabulaire s'appliquent.</w:t>
      </w:r>
    </w:p>
    <w:p w14:paraId="0C3D8D68" w14:textId="77777777" w:rsidR="00125D48" w:rsidRPr="00173681" w:rsidRDefault="00000000">
      <w:pPr>
        <w:pStyle w:val="Body"/>
        <w:rPr>
          <w:lang w:val="fr-FR"/>
        </w:rPr>
      </w:pPr>
      <w:r w:rsidRPr="00173681">
        <w:rPr>
          <w:rFonts w:ascii="Arial Unicode MS" w:hAnsi="Arial Unicode MS"/>
          <w:lang w:val="fr-FR"/>
        </w:rPr>
        <w:br w:type="page"/>
      </w:r>
    </w:p>
    <w:p w14:paraId="306683C2" w14:textId="3CBBE20B" w:rsidR="00125D48" w:rsidRPr="00173681" w:rsidRDefault="00772A11">
      <w:pPr>
        <w:pStyle w:val="H1-FitSM"/>
        <w:numPr>
          <w:ilvl w:val="0"/>
          <w:numId w:val="6"/>
        </w:numPr>
      </w:pPr>
      <w:r>
        <w:rPr>
          <w:rStyle w:val="tlid-translation"/>
          <w:rFonts w:eastAsia="Arial Unicode MS" w:cs="Arial Unicode MS"/>
        </w:rPr>
        <w:lastRenderedPageBreak/>
        <w:t xml:space="preserve"> </w:t>
      </w:r>
      <w:bookmarkStart w:id="4" w:name="_Toc137846772"/>
      <w:r w:rsidRPr="00173681">
        <w:rPr>
          <w:rStyle w:val="tlid-translation"/>
          <w:rFonts w:eastAsia="Arial Unicode MS" w:cs="Arial Unicode MS"/>
        </w:rPr>
        <w:t>Exigences générales pour un système de gestion des services informatiques</w:t>
      </w:r>
      <w:bookmarkEnd w:id="4"/>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1B39D283"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7D96D0F" w14:textId="77777777" w:rsidR="00125D48" w:rsidRPr="00173681" w:rsidRDefault="00000000" w:rsidP="00772A11">
            <w:pPr>
              <w:pStyle w:val="Heading3ReqTitle"/>
              <w:spacing w:before="60" w:after="60"/>
              <w:rPr>
                <w:lang w:val="fr-FR"/>
              </w:rPr>
            </w:pPr>
            <w:r w:rsidRPr="00173681">
              <w:rPr>
                <w:sz w:val="28"/>
                <w:szCs w:val="28"/>
                <w:lang w:val="fr-FR"/>
              </w:rPr>
              <w:t>GR1 Engagement et Responsabilité de la Direction de l’organisation (MCA)</w:t>
            </w:r>
          </w:p>
        </w:tc>
      </w:tr>
      <w:tr w:rsidR="00125D48" w:rsidRPr="00173681" w14:paraId="003E07F7"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44D9AF3" w14:textId="77777777" w:rsidR="00125D48" w:rsidRPr="00173681" w:rsidRDefault="00000000">
            <w:pPr>
              <w:pStyle w:val="BoxHeader"/>
              <w:rPr>
                <w:lang w:val="fr-FR"/>
              </w:rPr>
            </w:pPr>
            <w:r w:rsidRPr="00173681">
              <w:rPr>
                <w:color w:val="000000"/>
                <w:u w:color="000000"/>
                <w:lang w:val="fr-FR"/>
              </w:rPr>
              <w:t>EXIGENCES</w:t>
            </w:r>
          </w:p>
        </w:tc>
      </w:tr>
      <w:tr w:rsidR="00125D48" w:rsidRPr="00173681" w14:paraId="0CC63B10" w14:textId="77777777">
        <w:trPr>
          <w:trHeight w:val="2800"/>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43E3C" w14:textId="78AFEFF4" w:rsidR="00125D48" w:rsidRPr="00173681" w:rsidRDefault="00000000" w:rsidP="00772A11">
            <w:pPr>
              <w:pStyle w:val="AAAfitsmreqs"/>
              <w:numPr>
                <w:ilvl w:val="0"/>
                <w:numId w:val="11"/>
              </w:numPr>
              <w:spacing w:before="60" w:after="60" w:line="259" w:lineRule="auto"/>
              <w:ind w:hanging="357"/>
              <w:rPr>
                <w:lang w:val="fr-FR"/>
              </w:rPr>
            </w:pPr>
            <w:r w:rsidRPr="00173681">
              <w:rPr>
                <w:lang w:val="fr-FR"/>
              </w:rPr>
              <w:t xml:space="preserve">GR1.1 Un haut responsable de l’équipe de direction du (des) prestataire (s) de services impliqué (s) dans la fourniture des services </w:t>
            </w:r>
            <w:proofErr w:type="gramStart"/>
            <w:r w:rsidRPr="00173681">
              <w:rPr>
                <w:lang w:val="fr-FR"/>
              </w:rPr>
              <w:t>doit</w:t>
            </w:r>
            <w:proofErr w:type="gramEnd"/>
            <w:r w:rsidRPr="00173681">
              <w:rPr>
                <w:lang w:val="fr-FR"/>
              </w:rPr>
              <w:t xml:space="preserve"> être désigné comme propriétaire du SMS </w:t>
            </w:r>
            <w:r w:rsidR="00BB0FAF" w:rsidRPr="00173681">
              <w:rPr>
                <w:lang w:val="fr-FR"/>
              </w:rPr>
              <w:t xml:space="preserve">et </w:t>
            </w:r>
            <w:r w:rsidRPr="00173681">
              <w:rPr>
                <w:lang w:val="fr-FR"/>
              </w:rPr>
              <w:t>être responsable de l'ensemble du SMS.</w:t>
            </w:r>
          </w:p>
          <w:p w14:paraId="119463C9" w14:textId="77777777" w:rsidR="00125D48" w:rsidRPr="00173681" w:rsidRDefault="00000000" w:rsidP="00772A11">
            <w:pPr>
              <w:pStyle w:val="AAAfitsmreqs"/>
              <w:numPr>
                <w:ilvl w:val="0"/>
                <w:numId w:val="11"/>
              </w:numPr>
              <w:spacing w:before="60" w:after="60" w:line="259" w:lineRule="auto"/>
              <w:ind w:hanging="357"/>
              <w:rPr>
                <w:lang w:val="fr-FR"/>
              </w:rPr>
            </w:pPr>
            <w:r w:rsidRPr="00173681">
              <w:rPr>
                <w:lang w:val="fr-FR"/>
              </w:rPr>
              <w:t>GR1.2 Une politique générale de gestion des services doit être définie, comprenant des objectifs globaux de gestion des services ainsi qu'un engagement à l'amélioration continue et une approche orientée services et processus. La politique de gestion des services doit être approuvée et communiquée aux parties concernées par le propriétaire du SMS.</w:t>
            </w:r>
          </w:p>
          <w:p w14:paraId="04C4CBAC" w14:textId="77777777" w:rsidR="00125D48" w:rsidRPr="00173681" w:rsidRDefault="00000000" w:rsidP="00772A11">
            <w:pPr>
              <w:pStyle w:val="AAAfitsmreqs"/>
              <w:numPr>
                <w:ilvl w:val="0"/>
                <w:numId w:val="11"/>
              </w:numPr>
              <w:spacing w:before="60" w:after="60" w:line="259" w:lineRule="auto"/>
              <w:ind w:hanging="357"/>
              <w:rPr>
                <w:lang w:val="fr-FR"/>
              </w:rPr>
            </w:pPr>
            <w:r w:rsidRPr="00173681">
              <w:rPr>
                <w:lang w:val="fr-FR"/>
              </w:rPr>
              <w:t>GR1.3 Le propriétaire du SMS doit effectuer des revues de contrôle à intervalles planifiés.</w:t>
            </w:r>
          </w:p>
        </w:tc>
      </w:tr>
    </w:tbl>
    <w:p w14:paraId="12C278F7" w14:textId="77777777" w:rsidR="00125D48" w:rsidRPr="00173681" w:rsidRDefault="00125D48">
      <w:pPr>
        <w:pStyle w:val="FitSM-table-spacer"/>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326B57DE"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9A74E15" w14:textId="77777777" w:rsidR="00125D48" w:rsidRPr="00173681" w:rsidRDefault="00000000" w:rsidP="00772A11">
            <w:pPr>
              <w:pStyle w:val="Heading3ReqTitle"/>
              <w:spacing w:before="60" w:after="60"/>
              <w:rPr>
                <w:lang w:val="fr-FR"/>
              </w:rPr>
            </w:pPr>
            <w:r w:rsidRPr="00173681">
              <w:rPr>
                <w:sz w:val="28"/>
                <w:szCs w:val="28"/>
                <w:lang w:val="fr-FR"/>
              </w:rPr>
              <w:t>GR2 Documentation (DOC)</w:t>
            </w:r>
          </w:p>
        </w:tc>
      </w:tr>
      <w:tr w:rsidR="00125D48" w:rsidRPr="00173681" w14:paraId="0F897C99"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B16AA20" w14:textId="77777777" w:rsidR="00125D48" w:rsidRPr="00173681" w:rsidRDefault="00000000">
            <w:pPr>
              <w:pStyle w:val="BoxHeader"/>
              <w:rPr>
                <w:lang w:val="fr-FR"/>
              </w:rPr>
            </w:pPr>
            <w:r w:rsidRPr="00173681">
              <w:rPr>
                <w:color w:val="000000"/>
                <w:u w:color="000000"/>
                <w:lang w:val="fr-FR"/>
              </w:rPr>
              <w:t>EXIGENCES</w:t>
            </w:r>
          </w:p>
        </w:tc>
      </w:tr>
      <w:tr w:rsidR="00125D48" w:rsidRPr="00173681" w14:paraId="7720F14F" w14:textId="77777777">
        <w:trPr>
          <w:trHeight w:val="7610"/>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DAD6F" w14:textId="77777777" w:rsidR="00125D48" w:rsidRPr="00173681" w:rsidRDefault="00000000" w:rsidP="00772A11">
            <w:pPr>
              <w:pStyle w:val="AAAfitsmreqs"/>
              <w:numPr>
                <w:ilvl w:val="0"/>
                <w:numId w:val="12"/>
              </w:numPr>
              <w:spacing w:before="60" w:after="60" w:line="259" w:lineRule="auto"/>
              <w:ind w:hanging="357"/>
              <w:rPr>
                <w:lang w:val="fr-FR"/>
              </w:rPr>
            </w:pPr>
            <w:r w:rsidRPr="00173681">
              <w:rPr>
                <w:lang w:val="fr-FR"/>
              </w:rPr>
              <w:t>GR2.1 Les éléments clés du SMS doivent être documentés pour soutenir une planification efficace. Cette documentation doit inclure l'énoncé de la portée du SMS (voir GR3), la politique générale de gestion des services (voir GR1) ainsi que le plan de gestion des services et les plans associés (voir GR4).</w:t>
            </w:r>
          </w:p>
          <w:p w14:paraId="78734979" w14:textId="77777777" w:rsidR="00125D48" w:rsidRPr="00173681" w:rsidRDefault="00000000" w:rsidP="00772A11">
            <w:pPr>
              <w:pStyle w:val="AAAfitsmreqs"/>
              <w:numPr>
                <w:ilvl w:val="0"/>
                <w:numId w:val="12"/>
              </w:numPr>
              <w:spacing w:before="60" w:after="60" w:line="259" w:lineRule="auto"/>
              <w:ind w:hanging="357"/>
              <w:rPr>
                <w:lang w:val="fr-FR"/>
              </w:rPr>
            </w:pPr>
            <w:r w:rsidRPr="00173681">
              <w:rPr>
                <w:lang w:val="fr-FR"/>
              </w:rPr>
              <w:t>GR2.2 Des définitions documentées de tous les processus de gestion des services (voir PR1-PR14) doivent être créées et tenues à jour. Chacune de ces définitions doit comprendre :</w:t>
            </w:r>
          </w:p>
          <w:p w14:paraId="79D6921A"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Description des objectifs du processus</w:t>
            </w:r>
          </w:p>
          <w:p w14:paraId="37AFE60F" w14:textId="518BED18"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 xml:space="preserve">Description des </w:t>
            </w:r>
            <w:r w:rsidR="00BB0FAF" w:rsidRPr="00173681">
              <w:rPr>
                <w:lang w:val="fr-FR"/>
              </w:rPr>
              <w:t>entrées</w:t>
            </w:r>
            <w:r w:rsidRPr="00173681">
              <w:rPr>
                <w:lang w:val="fr-FR"/>
              </w:rPr>
              <w:t>, activités et</w:t>
            </w:r>
            <w:r w:rsidR="00BB0FAF" w:rsidRPr="00173681">
              <w:rPr>
                <w:lang w:val="fr-FR"/>
              </w:rPr>
              <w:t xml:space="preserve"> sorties</w:t>
            </w:r>
            <w:r w:rsidRPr="00173681">
              <w:rPr>
                <w:lang w:val="fr-FR"/>
              </w:rPr>
              <w:t xml:space="preserve"> du processus</w:t>
            </w:r>
          </w:p>
          <w:p w14:paraId="7219959A"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Description des rôles et responsabilités spécifiques au processus</w:t>
            </w:r>
          </w:p>
          <w:p w14:paraId="5A8D3213"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Description des interfaces avec d'autres processus</w:t>
            </w:r>
          </w:p>
          <w:p w14:paraId="75C6E9ED" w14:textId="13AC6333"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Politiques spécifiques liées au processus, si nécessaire</w:t>
            </w:r>
          </w:p>
          <w:p w14:paraId="6B091FEE" w14:textId="5766512D"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Procédures spécifiques liées aux processus et aux activités, si nécessaire</w:t>
            </w:r>
          </w:p>
          <w:p w14:paraId="581AF0F5" w14:textId="77777777" w:rsidR="00125D48" w:rsidRPr="00173681" w:rsidRDefault="00000000" w:rsidP="00772A11">
            <w:pPr>
              <w:pStyle w:val="AAAfitsmreqs"/>
              <w:numPr>
                <w:ilvl w:val="0"/>
                <w:numId w:val="12"/>
              </w:numPr>
              <w:spacing w:before="60" w:after="60" w:line="259" w:lineRule="auto"/>
              <w:ind w:hanging="357"/>
              <w:rPr>
                <w:lang w:val="fr-FR"/>
              </w:rPr>
            </w:pPr>
            <w:r w:rsidRPr="00173681">
              <w:rPr>
                <w:lang w:val="fr-FR"/>
              </w:rPr>
              <w:t>GR2.3 Les principaux résultats de tous les processus de gestion des services (voir PR1-PR14) doivent être documentés et l'exécution des activités clés de ces processus doit être enregistrée.</w:t>
            </w:r>
          </w:p>
          <w:p w14:paraId="1C9ADED1" w14:textId="77777777" w:rsidR="00125D48" w:rsidRPr="00173681" w:rsidRDefault="00000000" w:rsidP="00772A11">
            <w:pPr>
              <w:pStyle w:val="AAAfitsmreqs"/>
              <w:numPr>
                <w:ilvl w:val="0"/>
                <w:numId w:val="12"/>
              </w:numPr>
              <w:spacing w:before="60" w:after="60" w:line="259" w:lineRule="auto"/>
              <w:ind w:hanging="357"/>
              <w:rPr>
                <w:lang w:val="fr-FR"/>
              </w:rPr>
            </w:pPr>
            <w:r w:rsidRPr="00173681">
              <w:rPr>
                <w:lang w:val="fr-FR"/>
              </w:rPr>
              <w:t>GR2.4 Les informations documentées doivent être contrôlées. Le contrôle doit porter, si possible, sur les activités suivantes :</w:t>
            </w:r>
          </w:p>
          <w:p w14:paraId="7C62BC68"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Création et approbation</w:t>
            </w:r>
          </w:p>
          <w:p w14:paraId="72E2E2BB"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Communication et distribution</w:t>
            </w:r>
          </w:p>
          <w:p w14:paraId="05211101"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Examen</w:t>
            </w:r>
          </w:p>
          <w:p w14:paraId="60960A95" w14:textId="77777777" w:rsidR="00125D48" w:rsidRPr="00173681" w:rsidRDefault="00000000" w:rsidP="00772A11">
            <w:pPr>
              <w:pStyle w:val="AAAfitsmreqs"/>
              <w:numPr>
                <w:ilvl w:val="1"/>
                <w:numId w:val="12"/>
              </w:numPr>
              <w:spacing w:before="60" w:after="60" w:line="259" w:lineRule="auto"/>
              <w:ind w:hanging="357"/>
              <w:rPr>
                <w:lang w:val="fr-FR"/>
              </w:rPr>
            </w:pPr>
            <w:r w:rsidRPr="00173681">
              <w:rPr>
                <w:lang w:val="fr-FR"/>
              </w:rPr>
              <w:t>Suivi des versions et des modifications</w:t>
            </w:r>
          </w:p>
        </w:tc>
      </w:tr>
    </w:tbl>
    <w:p w14:paraId="4A900003" w14:textId="134484E3" w:rsidR="00125D48" w:rsidRPr="00173681" w:rsidRDefault="00125D48">
      <w:pPr>
        <w:pStyle w:val="Body"/>
        <w:rPr>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44A7A943" w14:textId="77777777">
        <w:trPr>
          <w:trHeight w:val="692"/>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15D558C" w14:textId="77777777" w:rsidR="00125D48" w:rsidRPr="00173681" w:rsidRDefault="00000000" w:rsidP="00772A11">
            <w:pPr>
              <w:pStyle w:val="Body"/>
              <w:spacing w:before="60" w:after="60"/>
              <w:rPr>
                <w:lang w:val="fr-FR"/>
              </w:rPr>
            </w:pPr>
            <w:r w:rsidRPr="00173681">
              <w:rPr>
                <w:color w:val="FFFFFF"/>
                <w:sz w:val="28"/>
                <w:szCs w:val="28"/>
                <w:u w:color="FFFFFF"/>
                <w:lang w:val="fr-FR"/>
              </w:rPr>
              <w:t>GR3 Champ d'application et parties prenantes du système de gestion des services informatiques (SCS)</w:t>
            </w:r>
          </w:p>
        </w:tc>
      </w:tr>
      <w:tr w:rsidR="00125D48" w:rsidRPr="00173681" w14:paraId="1C8BB392"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F153B2A" w14:textId="77777777" w:rsidR="00125D48" w:rsidRPr="00173681" w:rsidRDefault="00000000" w:rsidP="00772A11">
            <w:pPr>
              <w:pStyle w:val="BoxHeader"/>
              <w:rPr>
                <w:lang w:val="fr-FR"/>
              </w:rPr>
            </w:pPr>
            <w:r w:rsidRPr="00173681">
              <w:rPr>
                <w:color w:val="000000"/>
                <w:u w:color="000000"/>
                <w:lang w:val="fr-FR"/>
              </w:rPr>
              <w:t>EXIGENCES</w:t>
            </w:r>
          </w:p>
        </w:tc>
      </w:tr>
      <w:tr w:rsidR="00125D48" w:rsidRPr="00173681" w14:paraId="04AFA725" w14:textId="77777777">
        <w:trPr>
          <w:trHeight w:val="1511"/>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49E83" w14:textId="77777777" w:rsidR="00125D48" w:rsidRPr="00173681" w:rsidRDefault="00000000" w:rsidP="00772A11">
            <w:pPr>
              <w:pStyle w:val="AAAfitsmreqs"/>
              <w:numPr>
                <w:ilvl w:val="0"/>
                <w:numId w:val="13"/>
              </w:numPr>
              <w:spacing w:before="60" w:after="60" w:line="259" w:lineRule="auto"/>
              <w:rPr>
                <w:lang w:val="fr-FR"/>
              </w:rPr>
            </w:pPr>
            <w:r w:rsidRPr="00173681">
              <w:rPr>
                <w:lang w:val="fr-FR"/>
              </w:rPr>
              <w:t>GR3.1 Les parties prenantes des services informatiques et du SMS doivent être identifiées et leurs besoins et attentes analysés. Les exigences légales, réglementaires et contractuelles pertinentes doivent être prises en compte.</w:t>
            </w:r>
          </w:p>
          <w:p w14:paraId="32F1E374" w14:textId="77777777" w:rsidR="00125D48" w:rsidRPr="00173681" w:rsidRDefault="00000000" w:rsidP="00772A11">
            <w:pPr>
              <w:pStyle w:val="AAAfitsmreqs"/>
              <w:numPr>
                <w:ilvl w:val="0"/>
                <w:numId w:val="13"/>
              </w:numPr>
              <w:spacing w:before="60" w:after="60" w:line="259" w:lineRule="auto"/>
              <w:rPr>
                <w:lang w:val="fr-FR"/>
              </w:rPr>
            </w:pPr>
            <w:r w:rsidRPr="00173681">
              <w:rPr>
                <w:lang w:val="fr-FR"/>
              </w:rPr>
              <w:t>GR3.2 La portée du SMS doit être définie en tenant compte des résultats de l'analyse des parties prenantes.</w:t>
            </w:r>
          </w:p>
        </w:tc>
      </w:tr>
    </w:tbl>
    <w:p w14:paraId="1BBB083A" w14:textId="77777777" w:rsidR="00125D48" w:rsidRDefault="00125D48" w:rsidP="00772A11">
      <w:pPr>
        <w:pStyle w:val="FitSM-table-spacer"/>
        <w:spacing w:before="60" w:after="60"/>
        <w:rPr>
          <w:rStyle w:val="tlid-translation"/>
          <w:lang w:val="fr-FR"/>
        </w:rPr>
      </w:pPr>
    </w:p>
    <w:p w14:paraId="72A31EB8" w14:textId="77777777" w:rsidR="00772A11" w:rsidRPr="00173681" w:rsidRDefault="00772A11" w:rsidP="00772A11">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72637E50"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1375276" w14:textId="77777777" w:rsidR="00125D48" w:rsidRPr="00173681" w:rsidRDefault="00000000" w:rsidP="00772A11">
            <w:pPr>
              <w:pStyle w:val="Body"/>
              <w:spacing w:before="60" w:after="60"/>
              <w:rPr>
                <w:lang w:val="fr-FR"/>
              </w:rPr>
            </w:pPr>
            <w:r w:rsidRPr="00173681">
              <w:rPr>
                <w:color w:val="FFFFFF"/>
                <w:sz w:val="28"/>
                <w:szCs w:val="28"/>
                <w:u w:color="FFFFFF"/>
                <w:lang w:val="fr-FR"/>
              </w:rPr>
              <w:t>GR4 Planification du système de gestion des services informatiques (PLAN)</w:t>
            </w:r>
          </w:p>
        </w:tc>
      </w:tr>
      <w:tr w:rsidR="00125D48" w:rsidRPr="00173681" w14:paraId="6C02BA4C"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DF1B03B" w14:textId="77777777" w:rsidR="00125D48" w:rsidRPr="00173681" w:rsidRDefault="00000000" w:rsidP="00772A11">
            <w:pPr>
              <w:pStyle w:val="BoxHeader"/>
              <w:rPr>
                <w:lang w:val="fr-FR"/>
              </w:rPr>
            </w:pPr>
            <w:r w:rsidRPr="00173681">
              <w:rPr>
                <w:color w:val="000000"/>
                <w:u w:color="000000"/>
                <w:lang w:val="fr-FR"/>
              </w:rPr>
              <w:t>EXIGENCES</w:t>
            </w:r>
          </w:p>
        </w:tc>
      </w:tr>
      <w:tr w:rsidR="00125D48" w:rsidRPr="00173681" w14:paraId="7F210B6A" w14:textId="77777777">
        <w:trPr>
          <w:trHeight w:val="273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1E0FB" w14:textId="77777777" w:rsidR="00125D48" w:rsidRPr="00173681" w:rsidRDefault="00000000" w:rsidP="00772A11">
            <w:pPr>
              <w:pStyle w:val="AAAfitsmreqs"/>
              <w:numPr>
                <w:ilvl w:val="0"/>
                <w:numId w:val="14"/>
              </w:numPr>
              <w:spacing w:before="60" w:after="60" w:line="259" w:lineRule="auto"/>
              <w:rPr>
                <w:lang w:val="fr-FR"/>
              </w:rPr>
            </w:pPr>
            <w:r w:rsidRPr="00173681">
              <w:rPr>
                <w:lang w:val="fr-FR"/>
              </w:rPr>
              <w:t>GR4.1 Un plan de gestion des services doit être créé et tenu à jour. Il doit comprendre :</w:t>
            </w:r>
          </w:p>
          <w:p w14:paraId="2610E244" w14:textId="77777777" w:rsidR="00125D48" w:rsidRPr="00173681" w:rsidRDefault="00000000" w:rsidP="00772A11">
            <w:pPr>
              <w:pStyle w:val="AAAfitsmreqs"/>
              <w:numPr>
                <w:ilvl w:val="1"/>
                <w:numId w:val="14"/>
              </w:numPr>
              <w:spacing w:before="60" w:after="60" w:line="259" w:lineRule="auto"/>
              <w:rPr>
                <w:lang w:val="fr-FR"/>
              </w:rPr>
            </w:pPr>
            <w:r w:rsidRPr="00173681">
              <w:rPr>
                <w:lang w:val="fr-FR"/>
              </w:rPr>
              <w:t>Objectifs et calendrier de mise en œuvre ou d'amélioration du SMS et des processus associés</w:t>
            </w:r>
          </w:p>
          <w:p w14:paraId="70C4FF73" w14:textId="77777777" w:rsidR="00125D48" w:rsidRPr="00173681" w:rsidRDefault="00000000" w:rsidP="00772A11">
            <w:pPr>
              <w:pStyle w:val="AAAfitsmreqs"/>
              <w:numPr>
                <w:ilvl w:val="1"/>
                <w:numId w:val="14"/>
              </w:numPr>
              <w:spacing w:before="60" w:after="60" w:line="259" w:lineRule="auto"/>
              <w:rPr>
                <w:lang w:val="fr-FR"/>
              </w:rPr>
            </w:pPr>
            <w:r w:rsidRPr="00173681">
              <w:rPr>
                <w:lang w:val="fr-FR"/>
              </w:rPr>
              <w:t>Rôles et responsabilités</w:t>
            </w:r>
          </w:p>
          <w:p w14:paraId="5088DA2F" w14:textId="77777777" w:rsidR="00125D48" w:rsidRPr="00173681" w:rsidRDefault="00000000" w:rsidP="00772A11">
            <w:pPr>
              <w:pStyle w:val="AAAfitsmreqs"/>
              <w:numPr>
                <w:ilvl w:val="1"/>
                <w:numId w:val="14"/>
              </w:numPr>
              <w:spacing w:before="60" w:after="60" w:line="259" w:lineRule="auto"/>
              <w:rPr>
                <w:lang w:val="fr-FR"/>
              </w:rPr>
            </w:pPr>
            <w:r w:rsidRPr="00173681">
              <w:rPr>
                <w:lang w:val="fr-FR"/>
              </w:rPr>
              <w:t>Activités de formation et de sensibilisation</w:t>
            </w:r>
          </w:p>
          <w:p w14:paraId="2D271D35" w14:textId="77777777" w:rsidR="00125D48" w:rsidRPr="00173681" w:rsidRDefault="00000000" w:rsidP="00772A11">
            <w:pPr>
              <w:pStyle w:val="AAAfitsmreqs"/>
              <w:numPr>
                <w:ilvl w:val="1"/>
                <w:numId w:val="14"/>
              </w:numPr>
              <w:spacing w:before="60" w:after="60" w:line="259" w:lineRule="auto"/>
              <w:rPr>
                <w:lang w:val="fr-FR"/>
              </w:rPr>
            </w:pPr>
            <w:r w:rsidRPr="00173681">
              <w:rPr>
                <w:lang w:val="fr-FR"/>
              </w:rPr>
              <w:t>Technologie (outils) pour supporter le SMS</w:t>
            </w:r>
          </w:p>
          <w:p w14:paraId="509855D1" w14:textId="21495FEA" w:rsidR="00125D48" w:rsidRPr="00173681" w:rsidRDefault="00000000" w:rsidP="00772A11">
            <w:pPr>
              <w:pStyle w:val="AAAfitsmreqs"/>
              <w:numPr>
                <w:ilvl w:val="0"/>
                <w:numId w:val="14"/>
              </w:numPr>
              <w:spacing w:before="60" w:after="60" w:line="259" w:lineRule="auto"/>
              <w:rPr>
                <w:lang w:val="fr-FR"/>
              </w:rPr>
            </w:pPr>
            <w:r w:rsidRPr="00173681">
              <w:rPr>
                <w:lang w:val="fr-FR"/>
              </w:rPr>
              <w:t>GR4.2 Tout plan relati</w:t>
            </w:r>
            <w:r w:rsidR="00BB0FAF" w:rsidRPr="00173681">
              <w:rPr>
                <w:lang w:val="fr-FR"/>
              </w:rPr>
              <w:t>f</w:t>
            </w:r>
            <w:r w:rsidRPr="00173681">
              <w:rPr>
                <w:lang w:val="fr-FR"/>
              </w:rPr>
              <w:t xml:space="preserve"> à un processus doit être aligné avec le plan général de gestion des services.</w:t>
            </w:r>
          </w:p>
        </w:tc>
      </w:tr>
    </w:tbl>
    <w:p w14:paraId="267CD4BC" w14:textId="77777777" w:rsidR="00125D48" w:rsidRDefault="00125D48" w:rsidP="00772A11">
      <w:pPr>
        <w:pStyle w:val="FitSM-table-spacer"/>
        <w:spacing w:before="60" w:after="60"/>
        <w:rPr>
          <w:rStyle w:val="tlid-translation"/>
          <w:lang w:val="fr-FR"/>
        </w:rPr>
      </w:pPr>
    </w:p>
    <w:p w14:paraId="50B6C905" w14:textId="77777777" w:rsidR="00772A11" w:rsidRPr="00173681" w:rsidRDefault="00772A11" w:rsidP="00772A11">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19A37213"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DF9F7C8" w14:textId="77777777" w:rsidR="00125D48" w:rsidRPr="00173681" w:rsidRDefault="00000000" w:rsidP="00772A11">
            <w:pPr>
              <w:pStyle w:val="Heading3ReqTitle"/>
              <w:spacing w:before="60" w:after="60" w:line="259" w:lineRule="auto"/>
              <w:rPr>
                <w:lang w:val="fr-FR"/>
              </w:rPr>
            </w:pPr>
            <w:r w:rsidRPr="00173681">
              <w:rPr>
                <w:sz w:val="28"/>
                <w:szCs w:val="28"/>
                <w:lang w:val="fr-FR"/>
              </w:rPr>
              <w:t>GR5 Implémentation du système de gestion des services informatiques (DO)</w:t>
            </w:r>
          </w:p>
        </w:tc>
      </w:tr>
      <w:tr w:rsidR="00125D48" w:rsidRPr="00173681" w14:paraId="1ACB049C"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2E5C0225" w14:textId="77777777" w:rsidR="00125D48" w:rsidRPr="00173681" w:rsidRDefault="00000000" w:rsidP="00772A11">
            <w:pPr>
              <w:pStyle w:val="BoxHeader"/>
              <w:tabs>
                <w:tab w:val="left" w:pos="5136"/>
              </w:tabs>
              <w:spacing w:before="60" w:after="60" w:line="259" w:lineRule="auto"/>
              <w:rPr>
                <w:lang w:val="fr-FR"/>
              </w:rPr>
            </w:pPr>
            <w:r w:rsidRPr="00173681">
              <w:rPr>
                <w:color w:val="000000"/>
                <w:u w:color="000000"/>
                <w:lang w:val="fr-FR"/>
              </w:rPr>
              <w:t>EXIGENCES</w:t>
            </w:r>
          </w:p>
        </w:tc>
      </w:tr>
      <w:tr w:rsidR="00125D48" w:rsidRPr="00173681" w14:paraId="1ECD8FE6" w14:textId="77777777">
        <w:trPr>
          <w:trHeight w:val="1208"/>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C8CDD" w14:textId="77777777" w:rsidR="00125D48" w:rsidRPr="00173681" w:rsidRDefault="00000000" w:rsidP="00772A11">
            <w:pPr>
              <w:pStyle w:val="AAAfitsmreqs"/>
              <w:numPr>
                <w:ilvl w:val="0"/>
                <w:numId w:val="15"/>
              </w:numPr>
              <w:spacing w:before="60" w:after="60" w:line="259" w:lineRule="auto"/>
              <w:rPr>
                <w:lang w:val="fr-FR"/>
              </w:rPr>
            </w:pPr>
            <w:r w:rsidRPr="00173681">
              <w:rPr>
                <w:lang w:val="fr-FR"/>
              </w:rPr>
              <w:t>GR5.1 Le plan de gestion des services doit être mis en œuvre.</w:t>
            </w:r>
          </w:p>
          <w:p w14:paraId="3A350354" w14:textId="77777777" w:rsidR="00125D48" w:rsidRPr="00173681" w:rsidRDefault="00000000" w:rsidP="00772A11">
            <w:pPr>
              <w:pStyle w:val="AAAfitsmreqs"/>
              <w:numPr>
                <w:ilvl w:val="0"/>
                <w:numId w:val="15"/>
              </w:numPr>
              <w:spacing w:before="60" w:after="60" w:line="259" w:lineRule="auto"/>
              <w:rPr>
                <w:lang w:val="fr-FR"/>
              </w:rPr>
            </w:pPr>
            <w:r w:rsidRPr="00173681">
              <w:rPr>
                <w:lang w:val="fr-FR"/>
              </w:rPr>
              <w:t>GR5.2 Dans le cadre du SMS, les processus de gestion des services définis doivent être suivis dans la pratique ; leur mise en œuvre, ainsi que le respect des politiques et procédures liées, doivent être assurés.</w:t>
            </w:r>
          </w:p>
        </w:tc>
      </w:tr>
    </w:tbl>
    <w:p w14:paraId="3DBCBC2E" w14:textId="6CBD4E5E" w:rsidR="00772A11" w:rsidRDefault="00772A11" w:rsidP="00772A11">
      <w:pPr>
        <w:pStyle w:val="FitSM-table-spacer"/>
        <w:spacing w:before="60" w:after="60"/>
        <w:rPr>
          <w:rStyle w:val="tlid-translation"/>
          <w:lang w:val="fr-FR"/>
        </w:rPr>
      </w:pPr>
    </w:p>
    <w:p w14:paraId="35745F64" w14:textId="77777777" w:rsidR="00772A11" w:rsidRDefault="00772A11">
      <w:pPr>
        <w:rPr>
          <w:rStyle w:val="tlid-translation"/>
          <w:rFonts w:ascii="Calibri" w:eastAsia="Calibri" w:hAnsi="Calibri" w:cs="Calibri"/>
          <w:color w:val="000000"/>
          <w:u w:color="000000"/>
          <w:lang w:val="fr-FR" w:eastAsia="zh-CN"/>
        </w:rPr>
      </w:pPr>
      <w:r>
        <w:rPr>
          <w:rStyle w:val="tlid-translation"/>
          <w:lang w:val="fr-FR"/>
        </w:rPr>
        <w:br w:type="page"/>
      </w:r>
    </w:p>
    <w:p w14:paraId="3B84B26A" w14:textId="77777777" w:rsidR="00772A11" w:rsidRPr="00173681" w:rsidRDefault="00772A11" w:rsidP="00772A11">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0C15550F" w14:textId="77777777">
        <w:trPr>
          <w:trHeight w:val="692"/>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DECAF7E" w14:textId="22D9F470" w:rsidR="00125D48" w:rsidRPr="00173681" w:rsidRDefault="00000000" w:rsidP="00772A11">
            <w:pPr>
              <w:pStyle w:val="Body"/>
              <w:spacing w:before="60" w:after="60"/>
              <w:rPr>
                <w:lang w:val="fr-FR"/>
              </w:rPr>
            </w:pPr>
            <w:r w:rsidRPr="00173681">
              <w:rPr>
                <w:color w:val="FFFFFF"/>
                <w:sz w:val="28"/>
                <w:szCs w:val="28"/>
                <w:u w:color="FFFFFF"/>
                <w:lang w:val="fr-FR"/>
              </w:rPr>
              <w:t>GR6 Su</w:t>
            </w:r>
            <w:r w:rsidR="00C167C9">
              <w:rPr>
                <w:color w:val="FFFFFF"/>
                <w:sz w:val="28"/>
                <w:szCs w:val="28"/>
                <w:u w:color="FFFFFF"/>
                <w:lang w:val="fr-FR"/>
              </w:rPr>
              <w:t>ivi</w:t>
            </w:r>
            <w:r w:rsidRPr="00173681">
              <w:rPr>
                <w:color w:val="FFFFFF"/>
                <w:sz w:val="28"/>
                <w:szCs w:val="28"/>
                <w:u w:color="FFFFFF"/>
                <w:lang w:val="fr-FR"/>
              </w:rPr>
              <w:t xml:space="preserve"> et révision du système de gestion des services informatiques (CHECK)</w:t>
            </w:r>
          </w:p>
        </w:tc>
      </w:tr>
      <w:tr w:rsidR="00125D48" w:rsidRPr="00173681" w14:paraId="5163C1BD"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296CE396" w14:textId="77777777" w:rsidR="00125D48" w:rsidRPr="00173681" w:rsidRDefault="00000000" w:rsidP="00772A11">
            <w:pPr>
              <w:pStyle w:val="BoxHeader"/>
              <w:rPr>
                <w:lang w:val="fr-FR"/>
              </w:rPr>
            </w:pPr>
            <w:r w:rsidRPr="00173681">
              <w:rPr>
                <w:color w:val="000000"/>
                <w:u w:color="000000"/>
                <w:lang w:val="fr-FR"/>
              </w:rPr>
              <w:t>EXIGENCES</w:t>
            </w:r>
          </w:p>
        </w:tc>
      </w:tr>
      <w:tr w:rsidR="00125D48" w:rsidRPr="00173681" w14:paraId="50E18261" w14:textId="77777777">
        <w:trPr>
          <w:trHeight w:val="1511"/>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C5E1A" w14:textId="77777777" w:rsidR="00125D48" w:rsidRPr="00173681" w:rsidRDefault="00000000" w:rsidP="00772A11">
            <w:pPr>
              <w:pStyle w:val="AAAfitsmreqs"/>
              <w:numPr>
                <w:ilvl w:val="0"/>
                <w:numId w:val="16"/>
              </w:numPr>
              <w:spacing w:before="60" w:after="60" w:line="259" w:lineRule="auto"/>
              <w:rPr>
                <w:lang w:val="fr-FR"/>
              </w:rPr>
            </w:pPr>
            <w:r w:rsidRPr="00173681">
              <w:rPr>
                <w:lang w:val="fr-FR"/>
              </w:rPr>
              <w:t>GR6.1 L'efficacité du SMS et de ses processus de gestion des services doit être mesurée et évaluée sur la base d'indicateurs de performance clés appropriés à l'appui des objectifs définis ou convenus.</w:t>
            </w:r>
          </w:p>
          <w:p w14:paraId="2483019C" w14:textId="72604ED6" w:rsidR="00125D48" w:rsidRPr="00173681" w:rsidRDefault="00000000" w:rsidP="00772A11">
            <w:pPr>
              <w:pStyle w:val="AAAfitsmreqs"/>
              <w:numPr>
                <w:ilvl w:val="0"/>
                <w:numId w:val="16"/>
              </w:numPr>
              <w:spacing w:before="60" w:after="60" w:line="259" w:lineRule="auto"/>
              <w:rPr>
                <w:lang w:val="fr-FR"/>
              </w:rPr>
            </w:pPr>
            <w:r w:rsidRPr="00173681">
              <w:rPr>
                <w:lang w:val="fr-FR"/>
              </w:rPr>
              <w:t xml:space="preserve">GR6.2 Les contrôles ou les audits du SMS doivent être effectués à intervalles </w:t>
            </w:r>
            <w:r w:rsidR="00BB0FAF" w:rsidRPr="00173681">
              <w:rPr>
                <w:lang w:val="fr-FR"/>
              </w:rPr>
              <w:t xml:space="preserve">réguliers </w:t>
            </w:r>
            <w:r w:rsidRPr="00173681">
              <w:rPr>
                <w:lang w:val="fr-FR"/>
              </w:rPr>
              <w:t>planifiés pour évaluer le niveau de maturité et de conformité.</w:t>
            </w:r>
          </w:p>
        </w:tc>
      </w:tr>
    </w:tbl>
    <w:p w14:paraId="0BDC300F" w14:textId="72328BB1" w:rsidR="00125D48" w:rsidRDefault="00125D48" w:rsidP="00772A11">
      <w:pPr>
        <w:pStyle w:val="Body"/>
        <w:spacing w:before="60" w:after="60"/>
        <w:rPr>
          <w:lang w:val="fr-FR"/>
        </w:rPr>
      </w:pPr>
    </w:p>
    <w:p w14:paraId="55CC8274" w14:textId="77777777" w:rsidR="00772A11" w:rsidRPr="00173681" w:rsidRDefault="00772A11" w:rsidP="00772A11">
      <w:pPr>
        <w:pStyle w:val="Body"/>
        <w:spacing w:before="60" w:after="60"/>
        <w:rPr>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5524238E" w14:textId="77777777">
        <w:trPr>
          <w:trHeight w:val="66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92C5777" w14:textId="77777777" w:rsidR="00125D48" w:rsidRPr="00173681" w:rsidRDefault="00000000" w:rsidP="00772A11">
            <w:pPr>
              <w:pStyle w:val="Heading3ReqTitle"/>
              <w:spacing w:before="60" w:after="60" w:line="259" w:lineRule="auto"/>
              <w:rPr>
                <w:lang w:val="fr-FR"/>
              </w:rPr>
            </w:pPr>
            <w:r w:rsidRPr="00173681">
              <w:rPr>
                <w:sz w:val="28"/>
                <w:szCs w:val="28"/>
                <w:lang w:val="fr-FR"/>
              </w:rPr>
              <w:t>GR7 Amélioration continue du système de gestion des services informatiques (ACT)</w:t>
            </w:r>
          </w:p>
        </w:tc>
      </w:tr>
      <w:tr w:rsidR="00125D48" w:rsidRPr="00173681" w14:paraId="2E0F6335"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674E8AF" w14:textId="77777777" w:rsidR="00125D48" w:rsidRPr="00173681" w:rsidRDefault="00000000" w:rsidP="00772A11">
            <w:pPr>
              <w:pStyle w:val="BoxHeader"/>
              <w:rPr>
                <w:lang w:val="fr-FR"/>
              </w:rPr>
            </w:pPr>
            <w:r w:rsidRPr="00173681">
              <w:rPr>
                <w:color w:val="000000"/>
                <w:u w:color="000000"/>
                <w:lang w:val="fr-FR"/>
              </w:rPr>
              <w:t>EXIGENCES</w:t>
            </w:r>
          </w:p>
        </w:tc>
      </w:tr>
      <w:tr w:rsidR="00125D48" w:rsidRPr="00173681" w14:paraId="634369C2" w14:textId="77777777">
        <w:trPr>
          <w:trHeight w:val="2115"/>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DB5BB" w14:textId="201E0808" w:rsidR="00125D48" w:rsidRPr="00173681" w:rsidRDefault="00000000" w:rsidP="00772A11">
            <w:pPr>
              <w:pStyle w:val="AAAfitsmreqs"/>
              <w:numPr>
                <w:ilvl w:val="0"/>
                <w:numId w:val="17"/>
              </w:numPr>
              <w:spacing w:before="60" w:after="60" w:line="259" w:lineRule="auto"/>
              <w:rPr>
                <w:lang w:val="fr-FR"/>
              </w:rPr>
            </w:pPr>
            <w:r w:rsidRPr="00173681">
              <w:rPr>
                <w:lang w:val="fr-FR"/>
              </w:rPr>
              <w:t>GR7.1 Les non-conformités et les écarts par rapport aux objectifs doivent être identifiés et des mesures</w:t>
            </w:r>
            <w:r w:rsidR="00BB0FAF" w:rsidRPr="00173681">
              <w:rPr>
                <w:lang w:val="fr-FR"/>
              </w:rPr>
              <w:t xml:space="preserve"> correctives</w:t>
            </w:r>
            <w:r w:rsidRPr="00173681">
              <w:rPr>
                <w:lang w:val="fr-FR"/>
              </w:rPr>
              <w:t xml:space="preserve"> doivent être prises pour les empêcher de se reproduire.</w:t>
            </w:r>
          </w:p>
          <w:p w14:paraId="691199BA" w14:textId="77777777" w:rsidR="00125D48" w:rsidRPr="00173681" w:rsidRDefault="00000000" w:rsidP="00772A11">
            <w:pPr>
              <w:pStyle w:val="AAAfitsmreqs"/>
              <w:numPr>
                <w:ilvl w:val="0"/>
                <w:numId w:val="17"/>
              </w:numPr>
              <w:spacing w:before="60" w:after="60" w:line="259" w:lineRule="auto"/>
              <w:rPr>
                <w:lang w:val="fr-FR"/>
              </w:rPr>
            </w:pPr>
            <w:r w:rsidRPr="00173681">
              <w:rPr>
                <w:lang w:val="fr-FR"/>
              </w:rPr>
              <w:t>GR7.2 La politique de gestion des services, le plan de gestion des services et tous les processus de gestion des services doivent faire l'objet d'une amélioration continue. Les améliorations respectives doivent être identifiées, évaluées et mises en œuvre conformément au processus de gestion de l'amélioration continue des services (voir PR14).</w:t>
            </w:r>
          </w:p>
        </w:tc>
      </w:tr>
    </w:tbl>
    <w:p w14:paraId="2C3D149D" w14:textId="77777777" w:rsidR="00125D48" w:rsidRPr="00173681" w:rsidRDefault="00125D48">
      <w:pPr>
        <w:pStyle w:val="Body"/>
        <w:widowControl w:val="0"/>
        <w:spacing w:line="240" w:lineRule="auto"/>
        <w:ind w:left="108" w:hanging="108"/>
        <w:rPr>
          <w:lang w:val="fr-FR"/>
        </w:rPr>
      </w:pPr>
    </w:p>
    <w:p w14:paraId="3E4C9C68" w14:textId="77777777" w:rsidR="00125D48" w:rsidRPr="00173681" w:rsidRDefault="00000000">
      <w:pPr>
        <w:pStyle w:val="Body"/>
        <w:rPr>
          <w:lang w:val="fr-FR"/>
        </w:rPr>
      </w:pPr>
      <w:r w:rsidRPr="00173681">
        <w:rPr>
          <w:rFonts w:ascii="Arial Unicode MS" w:hAnsi="Arial Unicode MS"/>
          <w:lang w:val="fr-FR"/>
        </w:rPr>
        <w:br w:type="page"/>
      </w:r>
    </w:p>
    <w:p w14:paraId="1C1925AA" w14:textId="31598AD3" w:rsidR="00125D48" w:rsidRPr="00173681" w:rsidRDefault="00A63B96">
      <w:pPr>
        <w:pStyle w:val="H1-FitSM"/>
        <w:numPr>
          <w:ilvl w:val="0"/>
          <w:numId w:val="18"/>
        </w:numPr>
      </w:pPr>
      <w:r>
        <w:rPr>
          <w:rStyle w:val="tlid-translation"/>
          <w:rFonts w:eastAsia="Arial Unicode MS" w:cs="Arial Unicode MS"/>
        </w:rPr>
        <w:lastRenderedPageBreak/>
        <w:t xml:space="preserve"> </w:t>
      </w:r>
      <w:bookmarkStart w:id="5" w:name="_Toc137846773"/>
      <w:r w:rsidRPr="00173681">
        <w:rPr>
          <w:rStyle w:val="tlid-translation"/>
          <w:rFonts w:eastAsia="Arial Unicode MS" w:cs="Arial Unicode MS"/>
        </w:rPr>
        <w:t>Exigences spécifiques aux processus</w:t>
      </w:r>
      <w:bookmarkEnd w:id="5"/>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5E6C0D10"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BC6A31B" w14:textId="49D67E38" w:rsidR="00125D48" w:rsidRPr="00173681" w:rsidRDefault="00000000" w:rsidP="00A63B96">
            <w:pPr>
              <w:pStyle w:val="Heading3ReqTitle"/>
              <w:spacing w:before="60" w:after="60" w:line="259" w:lineRule="auto"/>
              <w:rPr>
                <w:lang w:val="fr-FR"/>
              </w:rPr>
            </w:pPr>
            <w:r w:rsidRPr="00173681">
              <w:rPr>
                <w:sz w:val="28"/>
                <w:szCs w:val="28"/>
                <w:lang w:val="fr-FR"/>
              </w:rPr>
              <w:t xml:space="preserve">PR1 </w:t>
            </w:r>
            <w:r w:rsidR="003B541E" w:rsidRPr="003B541E">
              <w:rPr>
                <w:sz w:val="28"/>
                <w:szCs w:val="28"/>
                <w:lang w:val="fr-FR"/>
              </w:rPr>
              <w:t>Gestion du portefeuille de services (SPM)</w:t>
            </w:r>
          </w:p>
        </w:tc>
      </w:tr>
      <w:tr w:rsidR="00125D48" w:rsidRPr="00173681" w14:paraId="4E818FF4"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23DF8E0"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688A1862" w14:textId="77777777">
        <w:trPr>
          <w:trHeight w:val="378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C50BE" w14:textId="77777777" w:rsidR="00125D48" w:rsidRPr="00173681" w:rsidRDefault="00000000" w:rsidP="00A63B96">
            <w:pPr>
              <w:pStyle w:val="AAAfitsmreqs"/>
              <w:numPr>
                <w:ilvl w:val="0"/>
                <w:numId w:val="19"/>
              </w:numPr>
              <w:spacing w:before="60" w:after="60" w:line="259" w:lineRule="auto"/>
              <w:rPr>
                <w:lang w:val="fr-FR"/>
              </w:rPr>
            </w:pPr>
            <w:r w:rsidRPr="00173681">
              <w:rPr>
                <w:lang w:val="fr-FR"/>
              </w:rPr>
              <w:t>PR1.1 Un portefeuille de services doit être maintenu. Tous les services doivent être spécifiés dans le cadre du portefeuille de services.</w:t>
            </w:r>
          </w:p>
          <w:p w14:paraId="4B325F57" w14:textId="77777777" w:rsidR="00125D48" w:rsidRPr="00173681" w:rsidRDefault="00000000" w:rsidP="00A63B96">
            <w:pPr>
              <w:pStyle w:val="AAAfitsmreqs"/>
              <w:numPr>
                <w:ilvl w:val="0"/>
                <w:numId w:val="19"/>
              </w:numPr>
              <w:spacing w:before="60" w:after="60" w:line="259" w:lineRule="auto"/>
              <w:rPr>
                <w:lang w:val="fr-FR"/>
              </w:rPr>
            </w:pPr>
            <w:r w:rsidRPr="00173681">
              <w:rPr>
                <w:lang w:val="fr-FR"/>
              </w:rPr>
              <w:t>PR1.2 Les propositions de services nouveaux ou modifiés doivent être évaluées en fonction de la demande prévue, des ressources requises et des avantages escomptés.</w:t>
            </w:r>
          </w:p>
          <w:p w14:paraId="66807009" w14:textId="77777777" w:rsidR="00125D48" w:rsidRPr="00173681" w:rsidRDefault="00000000" w:rsidP="00A63B96">
            <w:pPr>
              <w:pStyle w:val="AAAfitsmreqs"/>
              <w:numPr>
                <w:ilvl w:val="0"/>
                <w:numId w:val="19"/>
              </w:numPr>
              <w:spacing w:before="60" w:after="60" w:line="259" w:lineRule="auto"/>
              <w:rPr>
                <w:lang w:val="fr-FR"/>
              </w:rPr>
            </w:pPr>
            <w:r w:rsidRPr="00173681">
              <w:rPr>
                <w:lang w:val="fr-FR"/>
              </w:rPr>
              <w:t>PR1.3 L'évolution des services tout au long de leur cycle de vie doit être gérée. Cela comprend la planification de nouveaux services et les modifications importantes apportées aux services existants. Les plans doivent tenir compte des délais, des responsabilités, des technologies nouvelles ou modifiées, de la communication et des critères d'acceptation des services.</w:t>
            </w:r>
          </w:p>
          <w:p w14:paraId="6856E488" w14:textId="77777777" w:rsidR="00125D48" w:rsidRPr="00173681" w:rsidRDefault="00000000" w:rsidP="00A63B96">
            <w:pPr>
              <w:pStyle w:val="AAAfitsmreqs"/>
              <w:numPr>
                <w:ilvl w:val="0"/>
                <w:numId w:val="19"/>
              </w:numPr>
              <w:spacing w:before="60" w:after="60" w:line="259" w:lineRule="auto"/>
              <w:rPr>
                <w:lang w:val="fr-FR"/>
              </w:rPr>
            </w:pPr>
            <w:r w:rsidRPr="00173681">
              <w:rPr>
                <w:lang w:val="fr-FR"/>
              </w:rPr>
              <w:t>PR1.4 Pour chaque service, les fournisseurs internes et externes impliqués dans la prestation du service doivent être identifiés, y compris, le cas échéant, les membres de la fédération. Leurs points de contact, rôles et responsabilités doivent être déterminés.</w:t>
            </w:r>
          </w:p>
        </w:tc>
      </w:tr>
    </w:tbl>
    <w:p w14:paraId="000B7F01" w14:textId="77777777" w:rsidR="00125D48" w:rsidRDefault="00125D48" w:rsidP="00A63B96">
      <w:pPr>
        <w:pStyle w:val="FitSM-table-spacer"/>
        <w:spacing w:before="60" w:after="60"/>
        <w:rPr>
          <w:rStyle w:val="tlid-translation"/>
          <w:lang w:val="fr-FR"/>
        </w:rPr>
      </w:pPr>
    </w:p>
    <w:p w14:paraId="606AD733" w14:textId="77777777" w:rsidR="00A63B96" w:rsidRPr="00173681" w:rsidRDefault="00A63B96"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1D33BD27"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413F891" w14:textId="0DFAC620" w:rsidR="00125D48" w:rsidRPr="003B541E" w:rsidRDefault="00000000" w:rsidP="00A63B96">
            <w:pPr>
              <w:pStyle w:val="Heading3ReqTitle"/>
              <w:spacing w:before="60" w:after="60" w:line="259" w:lineRule="auto"/>
              <w:rPr>
                <w:lang w:val="fr-FR"/>
              </w:rPr>
            </w:pPr>
            <w:r w:rsidRPr="003B541E">
              <w:rPr>
                <w:sz w:val="28"/>
                <w:szCs w:val="28"/>
                <w:lang w:val="fr-FR"/>
              </w:rPr>
              <w:t xml:space="preserve">PR2 </w:t>
            </w:r>
            <w:r w:rsidR="003B541E" w:rsidRPr="003B541E">
              <w:rPr>
                <w:sz w:val="28"/>
                <w:szCs w:val="28"/>
                <w:lang w:val="fr-FR"/>
              </w:rPr>
              <w:t>Gestion des niveaux de service (SLM)</w:t>
            </w:r>
          </w:p>
        </w:tc>
      </w:tr>
      <w:tr w:rsidR="00125D48" w:rsidRPr="00173681" w14:paraId="575B70B4"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4EC468D"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58B1DA90" w14:textId="77777777">
        <w:trPr>
          <w:trHeight w:val="3262"/>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F8F4A" w14:textId="77777777" w:rsidR="00125D48" w:rsidRPr="00173681" w:rsidRDefault="00000000" w:rsidP="00A63B96">
            <w:pPr>
              <w:pStyle w:val="AAAfitsmreqs"/>
              <w:numPr>
                <w:ilvl w:val="0"/>
                <w:numId w:val="20"/>
              </w:numPr>
              <w:spacing w:before="60" w:after="60" w:line="259" w:lineRule="auto"/>
              <w:rPr>
                <w:lang w:val="fr-FR"/>
              </w:rPr>
            </w:pPr>
            <w:r w:rsidRPr="00173681">
              <w:rPr>
                <w:lang w:val="fr-FR"/>
              </w:rPr>
              <w:t>PR2.1 Un catalogue de services doit être tenu à jour.</w:t>
            </w:r>
          </w:p>
          <w:p w14:paraId="0C290B4A" w14:textId="2A25B98F" w:rsidR="00125D48" w:rsidRPr="00173681" w:rsidRDefault="00000000" w:rsidP="00A63B96">
            <w:pPr>
              <w:pStyle w:val="AAAfitsmreqs"/>
              <w:numPr>
                <w:ilvl w:val="0"/>
                <w:numId w:val="20"/>
              </w:numPr>
              <w:spacing w:before="60" w:after="60" w:line="259" w:lineRule="auto"/>
              <w:rPr>
                <w:lang w:val="fr-FR"/>
              </w:rPr>
            </w:pPr>
            <w:r w:rsidRPr="00173681">
              <w:rPr>
                <w:lang w:val="fr-FR"/>
              </w:rPr>
              <w:t xml:space="preserve">PR2.2 Pour tous les services fournis aux clients, des accords de niveau de service (SLA) doivent être en place et révisés à intervalles </w:t>
            </w:r>
            <w:r w:rsidR="00E5078A" w:rsidRPr="00173681">
              <w:rPr>
                <w:lang w:val="fr-FR"/>
              </w:rPr>
              <w:t xml:space="preserve">réguliers </w:t>
            </w:r>
            <w:r w:rsidRPr="00173681">
              <w:rPr>
                <w:lang w:val="fr-FR"/>
              </w:rPr>
              <w:t>planifiés.</w:t>
            </w:r>
          </w:p>
          <w:p w14:paraId="1DA2BD99" w14:textId="77777777" w:rsidR="00125D48" w:rsidRPr="00173681" w:rsidRDefault="00000000" w:rsidP="00A63B96">
            <w:pPr>
              <w:pStyle w:val="AAAfitsmreqs"/>
              <w:numPr>
                <w:ilvl w:val="0"/>
                <w:numId w:val="20"/>
              </w:numPr>
              <w:spacing w:before="60" w:after="60" w:line="259" w:lineRule="auto"/>
              <w:rPr>
                <w:lang w:val="fr-FR"/>
              </w:rPr>
            </w:pPr>
            <w:r w:rsidRPr="00173681">
              <w:rPr>
                <w:lang w:val="fr-FR"/>
              </w:rPr>
              <w:t>PR2.3 Les performances du service doivent être évaluées par rapport aux objectifs de service définis dans les SLA.</w:t>
            </w:r>
          </w:p>
          <w:p w14:paraId="07505467" w14:textId="6D773333" w:rsidR="00125D48" w:rsidRPr="00173681" w:rsidRDefault="00000000" w:rsidP="00A63B96">
            <w:pPr>
              <w:pStyle w:val="AAAfitsmreqs"/>
              <w:numPr>
                <w:ilvl w:val="0"/>
                <w:numId w:val="20"/>
              </w:numPr>
              <w:spacing w:before="60" w:after="60" w:line="259" w:lineRule="auto"/>
              <w:rPr>
                <w:lang w:val="fr-FR"/>
              </w:rPr>
            </w:pPr>
            <w:r w:rsidRPr="00173681">
              <w:rPr>
                <w:lang w:val="fr-FR"/>
              </w:rPr>
              <w:t xml:space="preserve">PR2.4 Pour les services de soutien ou les composants de service, les accords </w:t>
            </w:r>
            <w:r w:rsidR="00E5078A" w:rsidRPr="00173681">
              <w:rPr>
                <w:lang w:val="fr-FR"/>
              </w:rPr>
              <w:t>sous-jacents</w:t>
            </w:r>
            <w:r w:rsidRPr="00173681">
              <w:rPr>
                <w:lang w:val="fr-FR"/>
              </w:rPr>
              <w:t xml:space="preserve"> (UA) et les accords opérationnel</w:t>
            </w:r>
            <w:r w:rsidR="00E5078A" w:rsidRPr="00173681">
              <w:rPr>
                <w:lang w:val="fr-FR"/>
              </w:rPr>
              <w:t>s</w:t>
            </w:r>
            <w:r w:rsidRPr="00173681">
              <w:rPr>
                <w:lang w:val="fr-FR"/>
              </w:rPr>
              <w:t xml:space="preserve"> (OLA) doivent être définis, dans la mesure nécessaire, et examinés à intervalles </w:t>
            </w:r>
            <w:r w:rsidR="00E5078A" w:rsidRPr="00173681">
              <w:rPr>
                <w:lang w:val="fr-FR"/>
              </w:rPr>
              <w:t xml:space="preserve">réguliers </w:t>
            </w:r>
            <w:r w:rsidRPr="00173681">
              <w:rPr>
                <w:lang w:val="fr-FR"/>
              </w:rPr>
              <w:t>planifiés.</w:t>
            </w:r>
          </w:p>
          <w:p w14:paraId="2FC2A147" w14:textId="77777777" w:rsidR="00125D48" w:rsidRPr="00173681" w:rsidRDefault="00000000" w:rsidP="00A63B96">
            <w:pPr>
              <w:pStyle w:val="AAAfitsmreqs"/>
              <w:numPr>
                <w:ilvl w:val="0"/>
                <w:numId w:val="20"/>
              </w:numPr>
              <w:spacing w:before="60" w:after="60" w:line="259" w:lineRule="auto"/>
              <w:rPr>
                <w:lang w:val="fr-FR"/>
              </w:rPr>
            </w:pPr>
            <w:r w:rsidRPr="00173681">
              <w:rPr>
                <w:lang w:val="fr-FR"/>
              </w:rPr>
              <w:t>PR2.5 La performance des services de soutien et des composants de service doit être évaluée par rapport aux cibles définies dans les UA et les OLA.</w:t>
            </w:r>
          </w:p>
        </w:tc>
      </w:tr>
    </w:tbl>
    <w:p w14:paraId="2AC0E6DE" w14:textId="6A7A772A" w:rsidR="00A63B96" w:rsidRDefault="00A63B96" w:rsidP="00A63B96">
      <w:pPr>
        <w:pStyle w:val="FitSM-table-spacer"/>
        <w:spacing w:before="60" w:after="60"/>
        <w:rPr>
          <w:rStyle w:val="tlid-translation"/>
          <w:lang w:val="fr-FR"/>
        </w:rPr>
      </w:pPr>
    </w:p>
    <w:p w14:paraId="773A6830" w14:textId="77777777" w:rsidR="00A63B96" w:rsidRDefault="00A63B96">
      <w:pPr>
        <w:rPr>
          <w:rStyle w:val="tlid-translation"/>
          <w:rFonts w:ascii="Calibri" w:eastAsia="Calibri" w:hAnsi="Calibri" w:cs="Calibri"/>
          <w:color w:val="000000"/>
          <w:u w:color="000000"/>
          <w:lang w:val="fr-FR" w:eastAsia="zh-CN"/>
        </w:rPr>
      </w:pPr>
      <w:r>
        <w:rPr>
          <w:rStyle w:val="tlid-translation"/>
          <w:lang w:val="fr-FR"/>
        </w:rPr>
        <w:br w:type="page"/>
      </w:r>
    </w:p>
    <w:p w14:paraId="7F0E8111" w14:textId="77777777" w:rsidR="00125D48" w:rsidRPr="00173681" w:rsidRDefault="00125D48"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65D10906"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56599FB" w14:textId="43C0219E" w:rsidR="00125D48" w:rsidRPr="003B541E" w:rsidRDefault="00000000" w:rsidP="00A63B96">
            <w:pPr>
              <w:pStyle w:val="Heading3ReqTitle"/>
              <w:spacing w:before="60" w:after="60" w:line="259" w:lineRule="auto"/>
              <w:rPr>
                <w:lang w:val="fr-FR"/>
              </w:rPr>
            </w:pPr>
            <w:r w:rsidRPr="003B541E">
              <w:rPr>
                <w:sz w:val="28"/>
                <w:szCs w:val="28"/>
                <w:lang w:val="fr-FR"/>
              </w:rPr>
              <w:t xml:space="preserve">PR3 </w:t>
            </w:r>
            <w:r w:rsidR="003B541E" w:rsidRPr="003B541E">
              <w:rPr>
                <w:sz w:val="28"/>
                <w:szCs w:val="28"/>
                <w:lang w:val="fr-FR"/>
              </w:rPr>
              <w:t>Gestion des rapports de service (SRM)</w:t>
            </w:r>
          </w:p>
        </w:tc>
      </w:tr>
      <w:tr w:rsidR="00125D48" w:rsidRPr="00173681" w14:paraId="7850DFF5"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F541907"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42E20EA7" w14:textId="77777777">
        <w:trPr>
          <w:trHeight w:val="249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C9F9B" w14:textId="77777777" w:rsidR="00125D48" w:rsidRPr="00173681" w:rsidRDefault="00000000" w:rsidP="00A63B96">
            <w:pPr>
              <w:pStyle w:val="AAAfitsmreqs"/>
              <w:numPr>
                <w:ilvl w:val="0"/>
                <w:numId w:val="21"/>
              </w:numPr>
              <w:spacing w:before="60" w:after="60" w:line="259" w:lineRule="auto"/>
              <w:rPr>
                <w:lang w:val="fr-FR"/>
              </w:rPr>
            </w:pPr>
            <w:r w:rsidRPr="00173681">
              <w:rPr>
                <w:lang w:val="fr-FR"/>
              </w:rPr>
              <w:t>PR3.1 Les rapports requis doivent être identifiés. Les rapports doivent couvrir la performance des services et des processus par rapport aux objectifs définis, les événements importants et les non-conformités détectées.</w:t>
            </w:r>
          </w:p>
          <w:p w14:paraId="6673E2D6" w14:textId="00D78F6E" w:rsidR="00125D48" w:rsidRPr="00173681" w:rsidRDefault="00000000" w:rsidP="00A63B96">
            <w:pPr>
              <w:pStyle w:val="AAAfitsmreqs"/>
              <w:numPr>
                <w:ilvl w:val="0"/>
                <w:numId w:val="21"/>
              </w:numPr>
              <w:spacing w:before="60" w:after="60" w:line="259" w:lineRule="auto"/>
              <w:rPr>
                <w:lang w:val="fr-FR"/>
              </w:rPr>
            </w:pPr>
            <w:r w:rsidRPr="00173681">
              <w:rPr>
                <w:lang w:val="fr-FR"/>
              </w:rPr>
              <w:t xml:space="preserve">PR3.2 Les rapports doivent être </w:t>
            </w:r>
            <w:r w:rsidR="00173681" w:rsidRPr="00173681">
              <w:rPr>
                <w:lang w:val="fr-FR"/>
              </w:rPr>
              <w:t xml:space="preserve">spécifiés </w:t>
            </w:r>
            <w:r w:rsidRPr="00173681">
              <w:rPr>
                <w:lang w:val="fr-FR"/>
              </w:rPr>
              <w:t>convenus avec leurs destinataires. La spécification de chaque rapport doit inclure son identité, son objectif, son public, sa fréquence, son contenu, son format et sa méthode de livraison.</w:t>
            </w:r>
          </w:p>
          <w:p w14:paraId="06D20A4E" w14:textId="77777777" w:rsidR="00125D48" w:rsidRPr="00173681" w:rsidRDefault="00000000" w:rsidP="00A63B96">
            <w:pPr>
              <w:pStyle w:val="AAAfitsmreqs"/>
              <w:numPr>
                <w:ilvl w:val="0"/>
                <w:numId w:val="21"/>
              </w:numPr>
              <w:spacing w:before="60" w:after="60" w:line="259" w:lineRule="auto"/>
              <w:rPr>
                <w:lang w:val="fr-FR"/>
              </w:rPr>
            </w:pPr>
            <w:r w:rsidRPr="00173681">
              <w:rPr>
                <w:lang w:val="fr-FR"/>
              </w:rPr>
              <w:t>PR3.3 Les rapports doivent être produits et remis à leurs destinataires conformément aux spécifications.</w:t>
            </w:r>
          </w:p>
        </w:tc>
      </w:tr>
    </w:tbl>
    <w:p w14:paraId="7558FEF9" w14:textId="77777777" w:rsidR="00125D48" w:rsidRPr="00173681" w:rsidRDefault="00125D48" w:rsidP="00A63B96">
      <w:pPr>
        <w:pStyle w:val="FitSM-table-spacer"/>
        <w:widowControl w:val="0"/>
        <w:spacing w:before="60" w:after="60"/>
        <w:ind w:left="108" w:hanging="108"/>
        <w:rPr>
          <w:rStyle w:val="tlid-translation"/>
          <w:lang w:val="fr-FR"/>
        </w:rPr>
      </w:pPr>
    </w:p>
    <w:p w14:paraId="723A7C48" w14:textId="77777777" w:rsidR="00125D48" w:rsidRPr="00173681" w:rsidRDefault="00125D48" w:rsidP="00A63B96">
      <w:pPr>
        <w:pStyle w:val="Body"/>
        <w:spacing w:before="60" w:after="60"/>
        <w:rPr>
          <w:rStyle w:val="tlid-translation"/>
          <w:sz w:val="16"/>
          <w:szCs w:val="16"/>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3B541E" w14:paraId="5B57E2FF"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8BED0AA" w14:textId="0E6AD431" w:rsidR="00125D48" w:rsidRPr="003B541E" w:rsidRDefault="00000000" w:rsidP="00A63B96">
            <w:pPr>
              <w:pStyle w:val="Heading3ReqTitle"/>
              <w:spacing w:before="60" w:after="60" w:line="259" w:lineRule="auto"/>
              <w:rPr>
                <w:lang w:val="fr-FR"/>
              </w:rPr>
            </w:pPr>
            <w:r w:rsidRPr="003B541E">
              <w:rPr>
                <w:sz w:val="28"/>
                <w:szCs w:val="28"/>
                <w:lang w:val="fr-FR"/>
              </w:rPr>
              <w:t xml:space="preserve">PR4 </w:t>
            </w:r>
            <w:r w:rsidR="003B541E" w:rsidRPr="003B541E">
              <w:rPr>
                <w:sz w:val="28"/>
                <w:szCs w:val="28"/>
                <w:lang w:val="fr-FR"/>
              </w:rPr>
              <w:t>Gestion de la disponibilité et de la continuité des services (SACM)</w:t>
            </w:r>
          </w:p>
        </w:tc>
      </w:tr>
      <w:tr w:rsidR="00125D48" w:rsidRPr="00173681" w14:paraId="4AD1E5E1"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5AC374A"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5AADF255" w14:textId="77777777">
        <w:trPr>
          <w:trHeight w:val="257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CB3F7" w14:textId="44D04E3A" w:rsidR="00125D48" w:rsidRPr="00173681" w:rsidRDefault="00000000" w:rsidP="00A63B96">
            <w:pPr>
              <w:pStyle w:val="AAAfitsmreqs"/>
              <w:numPr>
                <w:ilvl w:val="0"/>
                <w:numId w:val="22"/>
              </w:numPr>
              <w:spacing w:before="60" w:after="60" w:line="259" w:lineRule="auto"/>
              <w:rPr>
                <w:lang w:val="fr-FR"/>
              </w:rPr>
            </w:pPr>
            <w:r w:rsidRPr="00173681">
              <w:rPr>
                <w:lang w:val="fr-FR"/>
              </w:rPr>
              <w:t>PR4.1 Les exigences de disponibilité et de continuité des service</w:t>
            </w:r>
            <w:r w:rsidR="00CE5C29">
              <w:rPr>
                <w:lang w:val="fr-FR"/>
              </w:rPr>
              <w:t>s</w:t>
            </w:r>
            <w:r w:rsidRPr="00173681">
              <w:rPr>
                <w:lang w:val="fr-FR"/>
              </w:rPr>
              <w:t xml:space="preserve"> doivent être identifiées et examinées à intervalles planifiés, en tenant compte des SLA.</w:t>
            </w:r>
          </w:p>
          <w:p w14:paraId="7240F2A7" w14:textId="77777777" w:rsidR="00125D48" w:rsidRPr="00173681" w:rsidRDefault="00000000" w:rsidP="00A63B96">
            <w:pPr>
              <w:pStyle w:val="AAAfitsmreqs"/>
              <w:numPr>
                <w:ilvl w:val="0"/>
                <w:numId w:val="22"/>
              </w:numPr>
              <w:spacing w:before="60" w:after="60" w:line="259" w:lineRule="auto"/>
              <w:rPr>
                <w:lang w:val="fr-FR"/>
              </w:rPr>
            </w:pPr>
            <w:r w:rsidRPr="00173681">
              <w:rPr>
                <w:lang w:val="fr-FR"/>
              </w:rPr>
              <w:t>PR4.2 Les risques de rupture de la disponibilité et de la continuité du service doivent être évalués à intervalles planifiés.</w:t>
            </w:r>
          </w:p>
          <w:p w14:paraId="40A9EE79" w14:textId="77777777" w:rsidR="00125D48" w:rsidRPr="00173681" w:rsidRDefault="00000000" w:rsidP="00A63B96">
            <w:pPr>
              <w:pStyle w:val="AAAfitsmreqs"/>
              <w:numPr>
                <w:ilvl w:val="0"/>
                <w:numId w:val="22"/>
              </w:numPr>
              <w:spacing w:before="60" w:after="60" w:line="259" w:lineRule="auto"/>
              <w:rPr>
                <w:lang w:val="fr-FR"/>
              </w:rPr>
            </w:pPr>
            <w:r w:rsidRPr="00173681">
              <w:rPr>
                <w:lang w:val="fr-FR"/>
              </w:rPr>
              <w:t>PR4.3 Des mesures appropriées doivent être prises pour réduire la probabilité et l'impact des risques de rupture de la disponibilité et de la continuité identifiés et répondre aux exigences identifiées.</w:t>
            </w:r>
          </w:p>
          <w:p w14:paraId="522E70E5" w14:textId="77777777" w:rsidR="00125D48" w:rsidRPr="00173681" w:rsidRDefault="00000000" w:rsidP="00A63B96">
            <w:pPr>
              <w:pStyle w:val="AAAfitsmreqs"/>
              <w:numPr>
                <w:ilvl w:val="0"/>
                <w:numId w:val="22"/>
              </w:numPr>
              <w:spacing w:before="60" w:after="60" w:line="259" w:lineRule="auto"/>
              <w:rPr>
                <w:lang w:val="fr-FR"/>
              </w:rPr>
            </w:pPr>
            <w:r w:rsidRPr="00173681">
              <w:rPr>
                <w:lang w:val="fr-FR"/>
              </w:rPr>
              <w:t>PR4.4 La disponibilité des services et des composants de service doit être surveillée.</w:t>
            </w:r>
          </w:p>
        </w:tc>
      </w:tr>
    </w:tbl>
    <w:p w14:paraId="5E368B5B" w14:textId="77777777" w:rsidR="00125D48" w:rsidRPr="00173681" w:rsidRDefault="00125D48" w:rsidP="00A63B96">
      <w:pPr>
        <w:pStyle w:val="Body"/>
        <w:widowControl w:val="0"/>
        <w:spacing w:before="60" w:after="60"/>
        <w:ind w:left="108" w:hanging="108"/>
        <w:rPr>
          <w:rStyle w:val="tlid-translation"/>
          <w:sz w:val="16"/>
          <w:szCs w:val="16"/>
          <w:lang w:val="fr-FR"/>
        </w:rPr>
      </w:pPr>
    </w:p>
    <w:p w14:paraId="6D8D1226" w14:textId="77777777" w:rsidR="00125D48" w:rsidRPr="00173681" w:rsidRDefault="00125D48"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4DC9FC10"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7FE31D1" w14:textId="6647E5CF" w:rsidR="00125D48" w:rsidRPr="003B541E" w:rsidRDefault="00000000" w:rsidP="00A63B96">
            <w:pPr>
              <w:pStyle w:val="Heading3ReqTitle"/>
              <w:spacing w:before="60" w:after="60" w:line="259" w:lineRule="auto"/>
              <w:rPr>
                <w:lang w:val="fr-FR"/>
              </w:rPr>
            </w:pPr>
            <w:r w:rsidRPr="003B541E">
              <w:rPr>
                <w:sz w:val="28"/>
                <w:szCs w:val="28"/>
                <w:lang w:val="fr-FR"/>
              </w:rPr>
              <w:t xml:space="preserve">PR5 </w:t>
            </w:r>
            <w:r w:rsidR="003B541E" w:rsidRPr="003B541E">
              <w:rPr>
                <w:sz w:val="28"/>
                <w:szCs w:val="28"/>
                <w:lang w:val="fr-FR"/>
              </w:rPr>
              <w:t>Gestion des capacités (CAPM)</w:t>
            </w:r>
          </w:p>
        </w:tc>
      </w:tr>
      <w:tr w:rsidR="00125D48" w:rsidRPr="00173681" w14:paraId="6867C5F4"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8D7C32F"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2A3E3425" w14:textId="77777777">
        <w:trPr>
          <w:trHeight w:val="257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20059" w14:textId="77777777" w:rsidR="00125D48" w:rsidRPr="00173681" w:rsidRDefault="00000000" w:rsidP="00A63B96">
            <w:pPr>
              <w:pStyle w:val="AAAfitsmreqs"/>
              <w:numPr>
                <w:ilvl w:val="0"/>
                <w:numId w:val="23"/>
              </w:numPr>
              <w:spacing w:before="60" w:after="60" w:line="259" w:lineRule="auto"/>
              <w:rPr>
                <w:lang w:val="fr-FR"/>
              </w:rPr>
            </w:pPr>
            <w:r w:rsidRPr="00173681">
              <w:rPr>
                <w:lang w:val="fr-FR"/>
              </w:rPr>
              <w:t>PR5.1 La capacité des services et les exigences de performance doivent être identifiées et examinées à intervalles planifiés, en tenant compte des SLA et de la demande prévue.</w:t>
            </w:r>
          </w:p>
          <w:p w14:paraId="637446F3" w14:textId="77777777" w:rsidR="00125D48" w:rsidRPr="00173681" w:rsidRDefault="00000000" w:rsidP="00A63B96">
            <w:pPr>
              <w:pStyle w:val="AAAfitsmreqs"/>
              <w:numPr>
                <w:ilvl w:val="0"/>
                <w:numId w:val="23"/>
              </w:numPr>
              <w:spacing w:before="60" w:after="60" w:line="259" w:lineRule="auto"/>
              <w:rPr>
                <w:lang w:val="fr-FR"/>
              </w:rPr>
            </w:pPr>
            <w:r w:rsidRPr="00173681">
              <w:rPr>
                <w:lang w:val="fr-FR"/>
              </w:rPr>
              <w:t xml:space="preserve">PR5.2 La capacité et l'utilisation actuelles doivent être identifiées. </w:t>
            </w:r>
          </w:p>
          <w:p w14:paraId="7ED2B26A" w14:textId="77777777" w:rsidR="00125D48" w:rsidRPr="00173681" w:rsidRDefault="00000000" w:rsidP="00A63B96">
            <w:pPr>
              <w:pStyle w:val="AAAfitsmreqs"/>
              <w:numPr>
                <w:ilvl w:val="0"/>
                <w:numId w:val="23"/>
              </w:numPr>
              <w:spacing w:before="60" w:after="60" w:line="259" w:lineRule="auto"/>
              <w:rPr>
                <w:lang w:val="fr-FR"/>
              </w:rPr>
            </w:pPr>
            <w:r w:rsidRPr="00173681">
              <w:rPr>
                <w:lang w:val="fr-FR"/>
              </w:rPr>
              <w:t>PR5.3 La capacité future doit être planifiée pour répondre aux besoins identifiés, compte tenu des ressources humaines, techniques et financières.</w:t>
            </w:r>
          </w:p>
          <w:p w14:paraId="74137A0D" w14:textId="77777777" w:rsidR="00125D48" w:rsidRPr="00173681" w:rsidRDefault="00000000" w:rsidP="00A63B96">
            <w:pPr>
              <w:pStyle w:val="AAAfitsmreqs"/>
              <w:numPr>
                <w:ilvl w:val="0"/>
                <w:numId w:val="23"/>
              </w:numPr>
              <w:spacing w:before="60" w:after="60" w:line="259" w:lineRule="auto"/>
              <w:rPr>
                <w:lang w:val="fr-FR"/>
              </w:rPr>
            </w:pPr>
            <w:r w:rsidRPr="00173681">
              <w:rPr>
                <w:lang w:val="fr-FR"/>
              </w:rPr>
              <w:t>PR5.4 La performance des services et des composants de service doit être analysée sur la base du suivi du degré d'utilisation des capacités et de l'identification des avertissements opérationnels et des exceptions.</w:t>
            </w:r>
          </w:p>
        </w:tc>
      </w:tr>
    </w:tbl>
    <w:p w14:paraId="2F6326D1" w14:textId="77777777" w:rsidR="00125D48" w:rsidRPr="00173681" w:rsidRDefault="00125D48" w:rsidP="00A63B96">
      <w:pPr>
        <w:pStyle w:val="FitSM-table-spacer"/>
        <w:widowControl w:val="0"/>
        <w:spacing w:before="60" w:after="60"/>
        <w:ind w:left="108" w:hanging="108"/>
        <w:rPr>
          <w:rStyle w:val="tlid-translation"/>
          <w:lang w:val="fr-FR"/>
        </w:rPr>
      </w:pPr>
    </w:p>
    <w:p w14:paraId="09D4DC52" w14:textId="77777777" w:rsidR="00125D48" w:rsidRPr="00173681" w:rsidRDefault="00125D48"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3B541E" w14:paraId="2D95CCBC"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614F8B3" w14:textId="4C11D454" w:rsidR="00125D48" w:rsidRPr="003B541E" w:rsidRDefault="00000000" w:rsidP="00A63B96">
            <w:pPr>
              <w:pStyle w:val="Heading3ReqTitle"/>
              <w:spacing w:before="60" w:after="60" w:line="259" w:lineRule="auto"/>
              <w:rPr>
                <w:lang w:val="fr-FR"/>
              </w:rPr>
            </w:pPr>
            <w:r w:rsidRPr="003B541E">
              <w:rPr>
                <w:sz w:val="28"/>
                <w:szCs w:val="28"/>
                <w:lang w:val="fr-FR"/>
              </w:rPr>
              <w:t xml:space="preserve">PR6 </w:t>
            </w:r>
            <w:r w:rsidR="003B541E" w:rsidRPr="003B541E">
              <w:rPr>
                <w:sz w:val="28"/>
                <w:szCs w:val="28"/>
                <w:lang w:val="fr-FR"/>
              </w:rPr>
              <w:t>Gestion de la sécurité de l'information (ISM)</w:t>
            </w:r>
          </w:p>
        </w:tc>
      </w:tr>
      <w:tr w:rsidR="00125D48" w:rsidRPr="00173681" w14:paraId="254773B3"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6DC1CBD"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32665A" w14:paraId="48A4E4A1" w14:textId="77777777">
        <w:trPr>
          <w:trHeight w:val="3564"/>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E693A" w14:textId="77777777" w:rsidR="00125D48" w:rsidRPr="00173681" w:rsidRDefault="00000000" w:rsidP="00A63B96">
            <w:pPr>
              <w:pStyle w:val="AAAfitsmreqs"/>
              <w:numPr>
                <w:ilvl w:val="0"/>
                <w:numId w:val="24"/>
              </w:numPr>
              <w:spacing w:before="60" w:after="60" w:line="259" w:lineRule="auto"/>
              <w:rPr>
                <w:lang w:val="fr-FR"/>
              </w:rPr>
            </w:pPr>
            <w:r w:rsidRPr="00173681">
              <w:rPr>
                <w:lang w:val="fr-FR"/>
              </w:rPr>
              <w:t>PR6.1 Les exigences de sécurité de l'information doivent être identifiées et les politiques de sécurité de l'information définies et revues à intervalles planifiés.</w:t>
            </w:r>
          </w:p>
          <w:p w14:paraId="2C87AFB0" w14:textId="77777777" w:rsidR="00125D48" w:rsidRPr="00173681" w:rsidRDefault="00000000" w:rsidP="00A63B96">
            <w:pPr>
              <w:pStyle w:val="AAAfitsmreqs"/>
              <w:numPr>
                <w:ilvl w:val="0"/>
                <w:numId w:val="24"/>
              </w:numPr>
              <w:spacing w:before="60" w:after="60" w:line="259" w:lineRule="auto"/>
              <w:rPr>
                <w:lang w:val="fr-FR"/>
              </w:rPr>
            </w:pPr>
            <w:r w:rsidRPr="00173681">
              <w:rPr>
                <w:lang w:val="fr-FR"/>
              </w:rPr>
              <w:t>PR6.2 Les risques pour la sécurité de l'information doivent être évalués à intervalles planifiés.</w:t>
            </w:r>
          </w:p>
          <w:p w14:paraId="6C6BAFB4" w14:textId="77777777" w:rsidR="00125D48" w:rsidRPr="00173681" w:rsidRDefault="00000000" w:rsidP="00A63B96">
            <w:pPr>
              <w:pStyle w:val="AAAfitsmreqs"/>
              <w:numPr>
                <w:ilvl w:val="0"/>
                <w:numId w:val="24"/>
              </w:numPr>
              <w:spacing w:before="60" w:after="60" w:line="259" w:lineRule="auto"/>
              <w:rPr>
                <w:lang w:val="fr-FR"/>
              </w:rPr>
            </w:pPr>
            <w:r w:rsidRPr="00173681">
              <w:rPr>
                <w:lang w:val="fr-FR"/>
              </w:rPr>
              <w:t>PR6.3 Des contrôles physiques, techniques et organisationnels de la sécurité de l'information doivent être mis en œuvre pour réduire la probabilité et l'impact des risques de sécurité de l'information identifiés et répondre aux exigences identifiées.</w:t>
            </w:r>
          </w:p>
          <w:p w14:paraId="7A407224" w14:textId="77777777" w:rsidR="00125D48" w:rsidRPr="00173681" w:rsidRDefault="00000000" w:rsidP="00A63B96">
            <w:pPr>
              <w:pStyle w:val="AAAfitsmreqs"/>
              <w:numPr>
                <w:ilvl w:val="0"/>
                <w:numId w:val="24"/>
              </w:numPr>
              <w:spacing w:before="60" w:after="60" w:line="259" w:lineRule="auto"/>
              <w:rPr>
                <w:lang w:val="fr-FR"/>
              </w:rPr>
            </w:pPr>
            <w:r w:rsidRPr="00173681">
              <w:rPr>
                <w:lang w:val="fr-FR"/>
              </w:rPr>
              <w:t>PR6.4 Les événements et incidents de sécurité de l'information doivent être traités de manière cohérente.</w:t>
            </w:r>
          </w:p>
          <w:p w14:paraId="1567C2B2" w14:textId="77777777" w:rsidR="00125D48" w:rsidRPr="00173681" w:rsidRDefault="00000000" w:rsidP="00A63B96">
            <w:pPr>
              <w:pStyle w:val="AAAfitsmreqs"/>
              <w:numPr>
                <w:ilvl w:val="0"/>
                <w:numId w:val="24"/>
              </w:numPr>
              <w:spacing w:before="60" w:after="60" w:line="259" w:lineRule="auto"/>
              <w:rPr>
                <w:lang w:val="fr-FR"/>
              </w:rPr>
            </w:pPr>
            <w:r w:rsidRPr="00173681">
              <w:rPr>
                <w:lang w:val="fr-FR"/>
              </w:rPr>
              <w:t>PR6.5 Le contrôle d'accès, y compris l'octroi de droits d'accès, doit être effectué de manière cohérente.</w:t>
            </w:r>
          </w:p>
        </w:tc>
      </w:tr>
    </w:tbl>
    <w:p w14:paraId="0A3179FE" w14:textId="77777777" w:rsidR="00A63B96" w:rsidRPr="00173681" w:rsidRDefault="00A63B96" w:rsidP="00A63B96">
      <w:pPr>
        <w:pStyle w:val="Body"/>
        <w:spacing w:before="60" w:after="60"/>
        <w:rPr>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1CD75921"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927899F" w14:textId="616C3871" w:rsidR="00125D48" w:rsidRPr="003B541E" w:rsidRDefault="00000000" w:rsidP="00A63B96">
            <w:pPr>
              <w:pStyle w:val="Heading3ReqTitle"/>
              <w:spacing w:before="60" w:after="60" w:line="259" w:lineRule="auto"/>
              <w:rPr>
                <w:lang w:val="fr-FR"/>
              </w:rPr>
            </w:pPr>
            <w:r w:rsidRPr="003B541E">
              <w:rPr>
                <w:sz w:val="28"/>
                <w:szCs w:val="28"/>
                <w:lang w:val="fr-FR"/>
              </w:rPr>
              <w:t xml:space="preserve">PR7 </w:t>
            </w:r>
            <w:r w:rsidR="003B541E" w:rsidRPr="003B541E">
              <w:rPr>
                <w:sz w:val="28"/>
                <w:szCs w:val="28"/>
                <w:lang w:val="fr-FR"/>
              </w:rPr>
              <w:t>Gestion de la relation client (CRM)</w:t>
            </w:r>
          </w:p>
        </w:tc>
      </w:tr>
      <w:tr w:rsidR="00125D48" w:rsidRPr="00173681" w14:paraId="17FA96F7"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0C82FB97"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398F284F" w14:textId="77777777">
        <w:trPr>
          <w:trHeight w:val="273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E43AC" w14:textId="77777777" w:rsidR="00125D48" w:rsidRPr="00173681" w:rsidRDefault="00000000" w:rsidP="00A63B96">
            <w:pPr>
              <w:pStyle w:val="AAAfitsmreqs"/>
              <w:numPr>
                <w:ilvl w:val="0"/>
                <w:numId w:val="25"/>
              </w:numPr>
              <w:spacing w:before="60" w:after="60" w:line="259" w:lineRule="auto"/>
              <w:rPr>
                <w:lang w:val="fr-FR"/>
              </w:rPr>
            </w:pPr>
            <w:r w:rsidRPr="00173681">
              <w:rPr>
                <w:lang w:val="fr-FR"/>
              </w:rPr>
              <w:t>PR7.1 Les clients du service doivent être identifiés.</w:t>
            </w:r>
          </w:p>
          <w:p w14:paraId="1DF6CAF8" w14:textId="77777777" w:rsidR="00125D48" w:rsidRPr="00173681" w:rsidRDefault="00000000" w:rsidP="00A63B96">
            <w:pPr>
              <w:pStyle w:val="AAAfitsmreqs"/>
              <w:numPr>
                <w:ilvl w:val="0"/>
                <w:numId w:val="25"/>
              </w:numPr>
              <w:spacing w:before="60" w:after="60" w:line="259" w:lineRule="auto"/>
              <w:rPr>
                <w:lang w:val="fr-FR"/>
              </w:rPr>
            </w:pPr>
            <w:r w:rsidRPr="00173681">
              <w:rPr>
                <w:lang w:val="fr-FR"/>
              </w:rPr>
              <w:t>PR7.2 Pour chaque client, il doit y avoir un contact désigné responsable de la gestion de la relation avec eux.</w:t>
            </w:r>
          </w:p>
          <w:p w14:paraId="1FD54963" w14:textId="77777777" w:rsidR="00125D48" w:rsidRPr="00173681" w:rsidRDefault="00000000" w:rsidP="00A63B96">
            <w:pPr>
              <w:pStyle w:val="AAAfitsmreqs"/>
              <w:numPr>
                <w:ilvl w:val="0"/>
                <w:numId w:val="25"/>
              </w:numPr>
              <w:spacing w:before="60" w:after="60" w:line="259" w:lineRule="auto"/>
              <w:rPr>
                <w:lang w:val="fr-FR"/>
              </w:rPr>
            </w:pPr>
            <w:r w:rsidRPr="00173681">
              <w:rPr>
                <w:lang w:val="fr-FR"/>
              </w:rPr>
              <w:t>PR7.3 Les canaux utilisés pour communiquer avec chaque client, y compris les mécanismes de commande de service, d'escalade et de réclamation, doivent être établis.</w:t>
            </w:r>
          </w:p>
          <w:p w14:paraId="546D24C5" w14:textId="77777777" w:rsidR="00125D48" w:rsidRPr="00173681" w:rsidRDefault="00000000" w:rsidP="00A63B96">
            <w:pPr>
              <w:pStyle w:val="AAAfitsmreqs"/>
              <w:numPr>
                <w:ilvl w:val="0"/>
                <w:numId w:val="25"/>
              </w:numPr>
              <w:spacing w:before="60" w:after="60" w:line="259" w:lineRule="auto"/>
              <w:rPr>
                <w:lang w:val="fr-FR"/>
              </w:rPr>
            </w:pPr>
            <w:r w:rsidRPr="00173681">
              <w:rPr>
                <w:lang w:val="fr-FR"/>
              </w:rPr>
              <w:t>PR7.4 Les revues de service avec les clients doivent être effectuées à intervalles planifiés.</w:t>
            </w:r>
          </w:p>
          <w:p w14:paraId="7A28702E" w14:textId="77777777" w:rsidR="00125D48" w:rsidRPr="00173681" w:rsidRDefault="00000000" w:rsidP="00A63B96">
            <w:pPr>
              <w:pStyle w:val="AAAfitsmreqs"/>
              <w:numPr>
                <w:ilvl w:val="0"/>
                <w:numId w:val="25"/>
              </w:numPr>
              <w:spacing w:before="60" w:after="60" w:line="259" w:lineRule="auto"/>
              <w:rPr>
                <w:lang w:val="fr-FR"/>
              </w:rPr>
            </w:pPr>
            <w:r w:rsidRPr="00173681">
              <w:rPr>
                <w:lang w:val="fr-FR"/>
              </w:rPr>
              <w:t>PR7.5 Les réclamations de service des clients doivent être traitées de manière cohérente.</w:t>
            </w:r>
          </w:p>
          <w:p w14:paraId="7C649403" w14:textId="77777777" w:rsidR="00125D48" w:rsidRPr="00173681" w:rsidRDefault="00000000" w:rsidP="00A63B96">
            <w:pPr>
              <w:pStyle w:val="AAAfitsmreqs"/>
              <w:numPr>
                <w:ilvl w:val="0"/>
                <w:numId w:val="25"/>
              </w:numPr>
              <w:spacing w:before="60" w:after="60" w:line="259" w:lineRule="auto"/>
              <w:rPr>
                <w:lang w:val="fr-FR"/>
              </w:rPr>
            </w:pPr>
            <w:r w:rsidRPr="00173681">
              <w:rPr>
                <w:lang w:val="fr-FR"/>
              </w:rPr>
              <w:t>PR7.6 La satisfaction du client doit être gérée.</w:t>
            </w:r>
          </w:p>
        </w:tc>
      </w:tr>
    </w:tbl>
    <w:p w14:paraId="540E7B7F" w14:textId="77777777" w:rsidR="00125D48" w:rsidRPr="00173681" w:rsidRDefault="00125D48"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2A03AE55"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AA4A967" w14:textId="3300AADC" w:rsidR="00125D48" w:rsidRPr="00173681" w:rsidRDefault="00000000" w:rsidP="00A63B96">
            <w:pPr>
              <w:pStyle w:val="Heading3ReqTitle"/>
              <w:spacing w:before="60" w:after="60" w:line="259" w:lineRule="auto"/>
              <w:rPr>
                <w:lang w:val="fr-FR"/>
              </w:rPr>
            </w:pPr>
            <w:r w:rsidRPr="00173681">
              <w:rPr>
                <w:sz w:val="28"/>
                <w:szCs w:val="28"/>
                <w:lang w:val="fr-FR"/>
              </w:rPr>
              <w:t xml:space="preserve">PR8 </w:t>
            </w:r>
            <w:r w:rsidR="003B541E" w:rsidRPr="003B541E">
              <w:rPr>
                <w:sz w:val="28"/>
                <w:szCs w:val="28"/>
                <w:lang w:val="fr-FR"/>
              </w:rPr>
              <w:t>Gestion des relations avec les fournisseurs (SUPPM)</w:t>
            </w:r>
          </w:p>
        </w:tc>
      </w:tr>
      <w:tr w:rsidR="00125D48" w:rsidRPr="00173681" w14:paraId="45E38296"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A43CB84"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6D1383E4" w14:textId="77777777">
        <w:trPr>
          <w:trHeight w:val="1973"/>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58318" w14:textId="77777777" w:rsidR="00125D48" w:rsidRPr="00173681" w:rsidRDefault="00000000" w:rsidP="00A63B96">
            <w:pPr>
              <w:pStyle w:val="AAAfitsmreqs"/>
              <w:numPr>
                <w:ilvl w:val="0"/>
                <w:numId w:val="26"/>
              </w:numPr>
              <w:spacing w:before="60" w:after="60" w:line="259" w:lineRule="auto"/>
              <w:rPr>
                <w:lang w:val="fr-FR"/>
              </w:rPr>
            </w:pPr>
            <w:r w:rsidRPr="00173681">
              <w:rPr>
                <w:lang w:val="fr-FR"/>
              </w:rPr>
              <w:t>PR8.1 Les fournisseurs internes et externes doivent être identifiés.</w:t>
            </w:r>
          </w:p>
          <w:p w14:paraId="0852F7F4" w14:textId="77777777" w:rsidR="00125D48" w:rsidRPr="00173681" w:rsidRDefault="00000000" w:rsidP="00A63B96">
            <w:pPr>
              <w:pStyle w:val="AAAfitsmreqs"/>
              <w:numPr>
                <w:ilvl w:val="0"/>
                <w:numId w:val="26"/>
              </w:numPr>
              <w:spacing w:before="60" w:after="60" w:line="259" w:lineRule="auto"/>
              <w:rPr>
                <w:lang w:val="fr-FR"/>
              </w:rPr>
            </w:pPr>
            <w:r w:rsidRPr="00173681">
              <w:rPr>
                <w:lang w:val="fr-FR"/>
              </w:rPr>
              <w:t>PR8.2 Pour chaque fournisseur, il doit y avoir un contact désigné chargé de gérer la relation avec eux.</w:t>
            </w:r>
          </w:p>
          <w:p w14:paraId="71FF0303" w14:textId="77777777" w:rsidR="00125D48" w:rsidRPr="00173681" w:rsidRDefault="00000000" w:rsidP="00A63B96">
            <w:pPr>
              <w:pStyle w:val="AAAfitsmreqs"/>
              <w:numPr>
                <w:ilvl w:val="0"/>
                <w:numId w:val="26"/>
              </w:numPr>
              <w:spacing w:before="60" w:after="60" w:line="259" w:lineRule="auto"/>
              <w:rPr>
                <w:lang w:val="fr-FR"/>
              </w:rPr>
            </w:pPr>
            <w:r w:rsidRPr="00173681">
              <w:rPr>
                <w:lang w:val="fr-FR"/>
              </w:rPr>
              <w:t>PR8.3 Les canaux utilisés pour communiquer avec chaque fournisseur, y compris les mécanismes d'escalade, doivent être établis.</w:t>
            </w:r>
          </w:p>
          <w:p w14:paraId="5F236CD8" w14:textId="77777777" w:rsidR="00125D48" w:rsidRPr="00173681" w:rsidRDefault="00000000" w:rsidP="00A63B96">
            <w:pPr>
              <w:pStyle w:val="AAAfitsmreqs"/>
              <w:numPr>
                <w:ilvl w:val="0"/>
                <w:numId w:val="26"/>
              </w:numPr>
              <w:spacing w:before="60" w:after="60" w:line="259" w:lineRule="auto"/>
              <w:rPr>
                <w:lang w:val="fr-FR"/>
              </w:rPr>
            </w:pPr>
            <w:r w:rsidRPr="00173681">
              <w:rPr>
                <w:lang w:val="fr-FR"/>
              </w:rPr>
              <w:t>PR8.4 Les fournisseurs doivent être évalués à intervalles planifiés.</w:t>
            </w:r>
          </w:p>
        </w:tc>
      </w:tr>
    </w:tbl>
    <w:p w14:paraId="20B7B179" w14:textId="77777777" w:rsidR="00125D48" w:rsidRPr="00173681" w:rsidRDefault="00125D48" w:rsidP="00A63B96">
      <w:pPr>
        <w:pStyle w:val="FitSM-table-spacer"/>
        <w:widowControl w:val="0"/>
        <w:spacing w:before="60" w:after="60"/>
        <w:ind w:left="108" w:hanging="108"/>
        <w:rPr>
          <w:rStyle w:val="tlid-translation"/>
          <w:lang w:val="fr-FR"/>
        </w:rPr>
      </w:pPr>
    </w:p>
    <w:p w14:paraId="42203B4F" w14:textId="77777777" w:rsidR="00125D48" w:rsidRPr="00173681" w:rsidRDefault="00125D48"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599DDCBA"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990230F" w14:textId="164A6215" w:rsidR="00125D48" w:rsidRPr="003B541E" w:rsidRDefault="00000000" w:rsidP="00A63B96">
            <w:pPr>
              <w:pStyle w:val="Heading3ReqTitle"/>
              <w:spacing w:before="60" w:after="60" w:line="259" w:lineRule="auto"/>
              <w:rPr>
                <w:lang w:val="fr-FR"/>
              </w:rPr>
            </w:pPr>
            <w:r w:rsidRPr="003B541E">
              <w:rPr>
                <w:sz w:val="28"/>
                <w:szCs w:val="28"/>
                <w:lang w:val="fr-FR"/>
              </w:rPr>
              <w:t xml:space="preserve">PR9 </w:t>
            </w:r>
            <w:r w:rsidR="003B541E" w:rsidRPr="003B541E">
              <w:rPr>
                <w:sz w:val="28"/>
                <w:szCs w:val="28"/>
                <w:lang w:val="fr-FR"/>
              </w:rPr>
              <w:t>Gestion des incidents et des demandes de service (ISRM)</w:t>
            </w:r>
          </w:p>
        </w:tc>
      </w:tr>
      <w:tr w:rsidR="00125D48" w:rsidRPr="00173681" w14:paraId="106262D4"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829A317"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090D8FBB" w14:textId="77777777">
        <w:trPr>
          <w:trHeight w:val="4249"/>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61EB5" w14:textId="77777777" w:rsidR="00125D48" w:rsidRPr="00173681" w:rsidRDefault="00000000" w:rsidP="00A63B96">
            <w:pPr>
              <w:pStyle w:val="AAAfitsmreqs"/>
              <w:numPr>
                <w:ilvl w:val="0"/>
                <w:numId w:val="27"/>
              </w:numPr>
              <w:spacing w:before="60" w:after="60" w:line="259" w:lineRule="auto"/>
              <w:rPr>
                <w:lang w:val="fr-FR"/>
              </w:rPr>
            </w:pPr>
            <w:r w:rsidRPr="00173681">
              <w:rPr>
                <w:lang w:val="fr-FR"/>
              </w:rPr>
              <w:t>PR9.1 Tous les incidents et demandes de service doivent être enregistrés, classés et hiérarchisés de manière cohérente, en tenant compte des objectifs de service issus des SLAs.</w:t>
            </w:r>
          </w:p>
          <w:p w14:paraId="3384C85E" w14:textId="77777777" w:rsidR="00125D48" w:rsidRPr="00173681" w:rsidRDefault="00000000" w:rsidP="00A63B96">
            <w:pPr>
              <w:pStyle w:val="AAAfitsmreqs"/>
              <w:numPr>
                <w:ilvl w:val="0"/>
                <w:numId w:val="27"/>
              </w:numPr>
              <w:spacing w:before="60" w:after="60" w:line="259" w:lineRule="auto"/>
              <w:rPr>
                <w:lang w:val="fr-FR"/>
              </w:rPr>
            </w:pPr>
            <w:r w:rsidRPr="00173681">
              <w:rPr>
                <w:lang w:val="fr-FR"/>
              </w:rPr>
              <w:t>PR9.2 Les incidents doivent être résolus et les demandes de service satisfaites, en tenant compte des informations provenant des SLAs et des erreurs connues, le cas échéant.</w:t>
            </w:r>
          </w:p>
          <w:p w14:paraId="080783FC" w14:textId="77777777" w:rsidR="00125D48" w:rsidRPr="00173681" w:rsidRDefault="00000000" w:rsidP="00A63B96">
            <w:pPr>
              <w:pStyle w:val="AAAfitsmreqs"/>
              <w:numPr>
                <w:ilvl w:val="0"/>
                <w:numId w:val="27"/>
              </w:numPr>
              <w:spacing w:before="60" w:after="60" w:line="259" w:lineRule="auto"/>
              <w:rPr>
                <w:lang w:val="fr-FR"/>
              </w:rPr>
            </w:pPr>
            <w:r w:rsidRPr="00173681">
              <w:rPr>
                <w:lang w:val="fr-FR"/>
              </w:rPr>
              <w:t>PR9.3 L'escalade fonctionnelle et hiérarchique des incidents et des demandes de service doit être effectuée de manière cohérente.</w:t>
            </w:r>
          </w:p>
          <w:p w14:paraId="235F191D" w14:textId="77777777" w:rsidR="00125D48" w:rsidRPr="00173681" w:rsidRDefault="00000000" w:rsidP="00A63B96">
            <w:pPr>
              <w:pStyle w:val="AAAfitsmreqs"/>
              <w:numPr>
                <w:ilvl w:val="0"/>
                <w:numId w:val="27"/>
              </w:numPr>
              <w:spacing w:before="60" w:after="60" w:line="259" w:lineRule="auto"/>
              <w:rPr>
                <w:lang w:val="fr-FR"/>
              </w:rPr>
            </w:pPr>
            <w:r w:rsidRPr="00173681">
              <w:rPr>
                <w:lang w:val="fr-FR"/>
              </w:rPr>
              <w:t>PR9.4 Les clients et les utilisateurs doivent être tenus informés, autant que nécessaire, de l'avancement des incidents et des demandes de service.</w:t>
            </w:r>
          </w:p>
          <w:p w14:paraId="12533AB7" w14:textId="77777777" w:rsidR="00125D48" w:rsidRPr="00173681" w:rsidRDefault="00000000" w:rsidP="00A63B96">
            <w:pPr>
              <w:pStyle w:val="AAAfitsmreqs"/>
              <w:numPr>
                <w:ilvl w:val="0"/>
                <w:numId w:val="27"/>
              </w:numPr>
              <w:spacing w:before="60" w:after="60" w:line="259" w:lineRule="auto"/>
              <w:rPr>
                <w:lang w:val="fr-FR"/>
              </w:rPr>
            </w:pPr>
            <w:r w:rsidRPr="00173681">
              <w:rPr>
                <w:lang w:val="fr-FR"/>
              </w:rPr>
              <w:t>PR9.5 La clôture des incidents et des demandes de service doit être effectuée de manière cohérente.</w:t>
            </w:r>
          </w:p>
          <w:p w14:paraId="1E003568" w14:textId="77777777" w:rsidR="00125D48" w:rsidRPr="00173681" w:rsidRDefault="00000000" w:rsidP="00A63B96">
            <w:pPr>
              <w:pStyle w:val="AAAfitsmreqs"/>
              <w:numPr>
                <w:ilvl w:val="0"/>
                <w:numId w:val="27"/>
              </w:numPr>
              <w:spacing w:before="60" w:after="60" w:line="259" w:lineRule="auto"/>
              <w:rPr>
                <w:lang w:val="fr-FR"/>
              </w:rPr>
            </w:pPr>
            <w:r w:rsidRPr="00173681">
              <w:rPr>
                <w:lang w:val="fr-FR"/>
              </w:rPr>
              <w:t>PR9.6 Les incidents majeurs doivent être identifiés sur la base de critères définis, et traités de manière cohérente.</w:t>
            </w:r>
          </w:p>
        </w:tc>
      </w:tr>
    </w:tbl>
    <w:p w14:paraId="149D5DB2" w14:textId="2721ADF6" w:rsidR="00125D48" w:rsidRDefault="00125D48">
      <w:pPr>
        <w:pStyle w:val="Body"/>
        <w:rPr>
          <w:lang w:val="fr-FR"/>
        </w:rPr>
      </w:pPr>
    </w:p>
    <w:p w14:paraId="0458CB5F" w14:textId="77777777" w:rsidR="00A63B96" w:rsidRPr="00173681" w:rsidRDefault="00A63B96">
      <w:pPr>
        <w:pStyle w:val="Body"/>
        <w:rPr>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10728048"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4202684" w14:textId="2E34D925" w:rsidR="00125D48" w:rsidRPr="003B541E" w:rsidRDefault="00000000" w:rsidP="00A63B96">
            <w:pPr>
              <w:pStyle w:val="Heading3ReqTitle"/>
              <w:spacing w:before="60" w:after="60" w:line="259" w:lineRule="auto"/>
              <w:rPr>
                <w:lang w:val="fr-FR"/>
              </w:rPr>
            </w:pPr>
            <w:r w:rsidRPr="003B541E">
              <w:rPr>
                <w:sz w:val="28"/>
                <w:szCs w:val="28"/>
                <w:lang w:val="fr-FR"/>
              </w:rPr>
              <w:t xml:space="preserve">PR10 </w:t>
            </w:r>
            <w:r w:rsidR="003B541E" w:rsidRPr="003B541E">
              <w:rPr>
                <w:sz w:val="28"/>
                <w:szCs w:val="28"/>
                <w:lang w:val="fr-FR"/>
              </w:rPr>
              <w:t>Gestion des problèmes (PM)</w:t>
            </w:r>
          </w:p>
        </w:tc>
      </w:tr>
      <w:tr w:rsidR="00125D48" w:rsidRPr="00173681" w14:paraId="60321213"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3AFF40B"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68E0594B" w14:textId="77777777">
        <w:trPr>
          <w:trHeight w:val="2880"/>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C5910" w14:textId="77777777" w:rsidR="00125D48" w:rsidRPr="00173681" w:rsidRDefault="00000000" w:rsidP="00A63B96">
            <w:pPr>
              <w:pStyle w:val="AAAfitsmreqs"/>
              <w:numPr>
                <w:ilvl w:val="0"/>
                <w:numId w:val="28"/>
              </w:numPr>
              <w:spacing w:before="60" w:after="60" w:line="259" w:lineRule="auto"/>
              <w:rPr>
                <w:lang w:val="fr-FR"/>
              </w:rPr>
            </w:pPr>
            <w:r w:rsidRPr="00173681">
              <w:rPr>
                <w:lang w:val="fr-FR"/>
              </w:rPr>
              <w:t>PR10.1 Les problèmes doivent être identifiés et enregistrés de manière cohérente, sur la base de l'analyse des modèles et des tendances dans l'occurrence des incidents.</w:t>
            </w:r>
          </w:p>
          <w:p w14:paraId="3521A5D0" w14:textId="77777777" w:rsidR="00125D48" w:rsidRPr="00173681" w:rsidRDefault="00000000" w:rsidP="00A63B96">
            <w:pPr>
              <w:pStyle w:val="AAAfitsmreqs"/>
              <w:numPr>
                <w:ilvl w:val="0"/>
                <w:numId w:val="28"/>
              </w:numPr>
              <w:spacing w:before="60" w:after="60" w:line="259" w:lineRule="auto"/>
              <w:rPr>
                <w:lang w:val="fr-FR"/>
              </w:rPr>
            </w:pPr>
            <w:r w:rsidRPr="00173681">
              <w:rPr>
                <w:lang w:val="fr-FR"/>
              </w:rPr>
              <w:t>PR10.2 Les problèmes doivent être étudiés pour identifier les actions permettant de les résoudre ou de réduire leur impact sur les services.</w:t>
            </w:r>
          </w:p>
          <w:p w14:paraId="66E2DEB9" w14:textId="52BF964A" w:rsidR="00125D48" w:rsidRPr="00173681" w:rsidRDefault="00000000" w:rsidP="00A63B96">
            <w:pPr>
              <w:pStyle w:val="AAAfitsmreqs"/>
              <w:numPr>
                <w:ilvl w:val="0"/>
                <w:numId w:val="28"/>
              </w:numPr>
              <w:spacing w:before="60" w:after="60" w:line="259" w:lineRule="auto"/>
              <w:rPr>
                <w:lang w:val="fr-FR"/>
              </w:rPr>
            </w:pPr>
            <w:r w:rsidRPr="00173681">
              <w:rPr>
                <w:lang w:val="fr-FR"/>
              </w:rPr>
              <w:t xml:space="preserve">PR10.3 Si un problème n'est pas résolu de manière permanente, une erreur connue doit être enregistrée avec des actions telles que des </w:t>
            </w:r>
            <w:r w:rsidR="00F63E10">
              <w:rPr>
                <w:lang w:val="fr-FR"/>
              </w:rPr>
              <w:t>mesures</w:t>
            </w:r>
            <w:r w:rsidRPr="00173681">
              <w:rPr>
                <w:lang w:val="fr-FR"/>
              </w:rPr>
              <w:t xml:space="preserve"> de contournement efficaces et des </w:t>
            </w:r>
            <w:r w:rsidR="00F63E10">
              <w:rPr>
                <w:lang w:val="fr-FR"/>
              </w:rPr>
              <w:t>solutions</w:t>
            </w:r>
            <w:r w:rsidRPr="00173681">
              <w:rPr>
                <w:lang w:val="fr-FR"/>
              </w:rPr>
              <w:t xml:space="preserve"> temporaires.</w:t>
            </w:r>
          </w:p>
          <w:p w14:paraId="288747F5" w14:textId="0440A2D3" w:rsidR="00125D48" w:rsidRPr="00173681" w:rsidRDefault="00000000" w:rsidP="00A63B96">
            <w:pPr>
              <w:pStyle w:val="AAAfitsmreqs"/>
              <w:numPr>
                <w:ilvl w:val="0"/>
                <w:numId w:val="28"/>
              </w:numPr>
              <w:spacing w:before="60" w:after="60" w:line="259" w:lineRule="auto"/>
              <w:rPr>
                <w:lang w:val="fr-FR"/>
              </w:rPr>
            </w:pPr>
            <w:r w:rsidRPr="00173681">
              <w:rPr>
                <w:lang w:val="fr-FR"/>
              </w:rPr>
              <w:t xml:space="preserve">PR10.4 Des informations à jour sur les erreurs connues et des </w:t>
            </w:r>
            <w:r w:rsidR="00F63E10">
              <w:rPr>
                <w:lang w:val="fr-FR"/>
              </w:rPr>
              <w:t>mesures</w:t>
            </w:r>
            <w:r w:rsidRPr="00173681">
              <w:rPr>
                <w:lang w:val="fr-FR"/>
              </w:rPr>
              <w:t xml:space="preserve"> de contournement efficaces doivent être </w:t>
            </w:r>
            <w:r w:rsidR="00173681" w:rsidRPr="00173681">
              <w:rPr>
                <w:lang w:val="fr-FR"/>
              </w:rPr>
              <w:t>maintenues</w:t>
            </w:r>
            <w:r w:rsidRPr="00173681">
              <w:rPr>
                <w:lang w:val="fr-FR"/>
              </w:rPr>
              <w:t>.</w:t>
            </w:r>
          </w:p>
        </w:tc>
      </w:tr>
    </w:tbl>
    <w:p w14:paraId="6A99112F" w14:textId="77777777" w:rsidR="00125D48" w:rsidRDefault="00125D48" w:rsidP="00A63B96">
      <w:pPr>
        <w:pStyle w:val="FitSM-table-spacer"/>
        <w:spacing w:before="60" w:after="60"/>
        <w:rPr>
          <w:rStyle w:val="tlid-translation"/>
          <w:lang w:val="fr-FR"/>
        </w:rPr>
      </w:pPr>
    </w:p>
    <w:p w14:paraId="61B83E50" w14:textId="743B5C39" w:rsidR="00A63B96" w:rsidRDefault="00A63B96" w:rsidP="00A63B96">
      <w:pPr>
        <w:spacing w:before="60" w:after="60" w:line="259" w:lineRule="auto"/>
        <w:rPr>
          <w:rStyle w:val="tlid-translation"/>
          <w:rFonts w:ascii="Calibri" w:eastAsia="Calibri" w:hAnsi="Calibri" w:cs="Calibri"/>
          <w:color w:val="000000"/>
          <w:u w:color="000000"/>
          <w:lang w:val="fr-FR" w:eastAsia="zh-CN"/>
        </w:rPr>
      </w:pPr>
      <w:r>
        <w:rPr>
          <w:rStyle w:val="tlid-translation"/>
          <w:lang w:val="fr-FR"/>
        </w:rPr>
        <w:br w:type="page"/>
      </w:r>
    </w:p>
    <w:p w14:paraId="244DFCC1" w14:textId="77777777" w:rsidR="00A63B96" w:rsidRPr="00173681" w:rsidRDefault="00A63B96"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3B541E" w14:paraId="4A16AE80"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D351FEE" w14:textId="2DFD99B1" w:rsidR="00125D48" w:rsidRPr="003B541E" w:rsidRDefault="00000000" w:rsidP="00A63B96">
            <w:pPr>
              <w:pStyle w:val="Heading3ReqTitle"/>
              <w:spacing w:before="60" w:after="60" w:line="259" w:lineRule="auto"/>
              <w:rPr>
                <w:lang w:val="fr-FR"/>
              </w:rPr>
            </w:pPr>
            <w:r w:rsidRPr="003B541E">
              <w:rPr>
                <w:sz w:val="28"/>
                <w:szCs w:val="28"/>
                <w:lang w:val="fr-FR"/>
              </w:rPr>
              <w:t xml:space="preserve">PR11 </w:t>
            </w:r>
            <w:r w:rsidR="003B541E" w:rsidRPr="003B541E">
              <w:rPr>
                <w:sz w:val="28"/>
                <w:szCs w:val="28"/>
                <w:lang w:val="fr-FR"/>
              </w:rPr>
              <w:t>Gestion de la configuration (CONFM)</w:t>
            </w:r>
          </w:p>
        </w:tc>
      </w:tr>
      <w:tr w:rsidR="00125D48" w:rsidRPr="00173681" w14:paraId="7142F785"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3313173"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61CFCC23" w14:textId="77777777">
        <w:trPr>
          <w:trHeight w:val="3867"/>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E94FD" w14:textId="77777777" w:rsidR="00125D48" w:rsidRPr="00173681" w:rsidRDefault="00000000" w:rsidP="00A63B96">
            <w:pPr>
              <w:pStyle w:val="AAAfitsmreqs"/>
              <w:numPr>
                <w:ilvl w:val="0"/>
                <w:numId w:val="29"/>
              </w:numPr>
              <w:spacing w:before="60" w:after="60" w:line="259" w:lineRule="auto"/>
              <w:rPr>
                <w:lang w:val="fr-FR"/>
              </w:rPr>
            </w:pPr>
            <w:r w:rsidRPr="00173681">
              <w:rPr>
                <w:lang w:val="fr-FR"/>
              </w:rPr>
              <w:t xml:space="preserve">PR11.1 Le champ d'application de la gestion de la configuration doit être défini ainsi que les types d'éléments de configuration (Configuration Items - </w:t>
            </w:r>
            <w:proofErr w:type="spellStart"/>
            <w:r w:rsidRPr="00173681">
              <w:rPr>
                <w:lang w:val="fr-FR"/>
              </w:rPr>
              <w:t>CIs</w:t>
            </w:r>
            <w:proofErr w:type="spellEnd"/>
            <w:r w:rsidRPr="00173681">
              <w:rPr>
                <w:lang w:val="fr-FR"/>
              </w:rPr>
              <w:t>) et les relations à prendre en compte.</w:t>
            </w:r>
          </w:p>
          <w:p w14:paraId="7D46887F" w14:textId="77777777" w:rsidR="00125D48" w:rsidRPr="00173681" w:rsidRDefault="00000000" w:rsidP="00A63B96">
            <w:pPr>
              <w:pStyle w:val="AAAfitsmreqs"/>
              <w:numPr>
                <w:ilvl w:val="0"/>
                <w:numId w:val="29"/>
              </w:numPr>
              <w:spacing w:before="60" w:after="60" w:line="259" w:lineRule="auto"/>
              <w:rPr>
                <w:lang w:val="fr-FR"/>
              </w:rPr>
            </w:pPr>
            <w:r w:rsidRPr="00173681">
              <w:rPr>
                <w:lang w:val="fr-FR"/>
              </w:rPr>
              <w:t xml:space="preserve">PR11.2 Le niveau de détail des informations de configuration enregistrées doit être suffisant pour permettre un contrôle efficace des </w:t>
            </w:r>
            <w:proofErr w:type="spellStart"/>
            <w:r w:rsidRPr="00173681">
              <w:rPr>
                <w:lang w:val="fr-FR"/>
              </w:rPr>
              <w:t>CIs</w:t>
            </w:r>
            <w:proofErr w:type="spellEnd"/>
            <w:r w:rsidRPr="00173681">
              <w:rPr>
                <w:lang w:val="fr-FR"/>
              </w:rPr>
              <w:t>.</w:t>
            </w:r>
          </w:p>
          <w:p w14:paraId="15EF6122" w14:textId="77777777" w:rsidR="00125D48" w:rsidRPr="00173681" w:rsidRDefault="00000000" w:rsidP="00A63B96">
            <w:pPr>
              <w:pStyle w:val="AAAfitsmreqs"/>
              <w:numPr>
                <w:ilvl w:val="0"/>
                <w:numId w:val="29"/>
              </w:numPr>
              <w:spacing w:before="60" w:after="60" w:line="259" w:lineRule="auto"/>
              <w:rPr>
                <w:lang w:val="fr-FR"/>
              </w:rPr>
            </w:pPr>
            <w:r w:rsidRPr="00173681">
              <w:rPr>
                <w:lang w:val="fr-FR"/>
              </w:rPr>
              <w:t xml:space="preserve">PR11.3 Les informations sur les </w:t>
            </w:r>
            <w:proofErr w:type="spellStart"/>
            <w:r w:rsidRPr="00173681">
              <w:rPr>
                <w:lang w:val="fr-FR"/>
              </w:rPr>
              <w:t>CIs</w:t>
            </w:r>
            <w:proofErr w:type="spellEnd"/>
            <w:r w:rsidRPr="00173681">
              <w:rPr>
                <w:lang w:val="fr-FR"/>
              </w:rPr>
              <w:t xml:space="preserve"> et leurs relations avec d'autres </w:t>
            </w:r>
            <w:proofErr w:type="spellStart"/>
            <w:r w:rsidRPr="00173681">
              <w:rPr>
                <w:lang w:val="fr-FR"/>
              </w:rPr>
              <w:t>CIs</w:t>
            </w:r>
            <w:proofErr w:type="spellEnd"/>
            <w:r w:rsidRPr="00173681">
              <w:rPr>
                <w:lang w:val="fr-FR"/>
              </w:rPr>
              <w:t xml:space="preserve"> doivent être conservées et maintenues à jour dans une base de données de gestion des configurations (CMDB).</w:t>
            </w:r>
          </w:p>
          <w:p w14:paraId="1B6E0588" w14:textId="77777777" w:rsidR="00125D48" w:rsidRPr="00173681" w:rsidRDefault="00000000" w:rsidP="00A63B96">
            <w:pPr>
              <w:pStyle w:val="AAAfitsmreqs"/>
              <w:numPr>
                <w:ilvl w:val="0"/>
                <w:numId w:val="29"/>
              </w:numPr>
              <w:spacing w:before="60" w:after="60" w:line="259" w:lineRule="auto"/>
              <w:rPr>
                <w:lang w:val="fr-FR"/>
              </w:rPr>
            </w:pPr>
            <w:r w:rsidRPr="00173681">
              <w:rPr>
                <w:lang w:val="fr-FR"/>
              </w:rPr>
              <w:t xml:space="preserve">PR11.4 Les </w:t>
            </w:r>
            <w:proofErr w:type="spellStart"/>
            <w:r w:rsidRPr="00173681">
              <w:rPr>
                <w:lang w:val="fr-FR"/>
              </w:rPr>
              <w:t>CIs</w:t>
            </w:r>
            <w:proofErr w:type="spellEnd"/>
            <w:r w:rsidRPr="00173681">
              <w:rPr>
                <w:lang w:val="fr-FR"/>
              </w:rPr>
              <w:t xml:space="preserve"> doivent être contrôlés et les modifications apportées aux CI doivent être suivies dans la CMDB.</w:t>
            </w:r>
          </w:p>
          <w:p w14:paraId="66D70460" w14:textId="77777777" w:rsidR="00125D48" w:rsidRPr="00173681" w:rsidRDefault="00000000" w:rsidP="00A63B96">
            <w:pPr>
              <w:pStyle w:val="AAAfitsmreqs"/>
              <w:numPr>
                <w:ilvl w:val="0"/>
                <w:numId w:val="29"/>
              </w:numPr>
              <w:spacing w:before="60" w:after="60" w:line="259" w:lineRule="auto"/>
              <w:rPr>
                <w:lang w:val="fr-FR"/>
              </w:rPr>
            </w:pPr>
            <w:r w:rsidRPr="00173681">
              <w:rPr>
                <w:lang w:val="fr-FR"/>
              </w:rPr>
              <w:t>PR11.5 Les informations stockées dans la CMDB doivent être vérifiées à intervalles planifiés.</w:t>
            </w:r>
          </w:p>
        </w:tc>
      </w:tr>
    </w:tbl>
    <w:p w14:paraId="7BD73ED1" w14:textId="77777777" w:rsidR="00125D48" w:rsidRPr="00173681" w:rsidRDefault="00125D48" w:rsidP="00A63B96">
      <w:pPr>
        <w:pStyle w:val="FitSM-table-spacer"/>
        <w:widowControl w:val="0"/>
        <w:spacing w:before="60" w:after="60"/>
        <w:ind w:left="108" w:hanging="108"/>
        <w:rPr>
          <w:rStyle w:val="tlid-translation"/>
          <w:lang w:val="fr-FR"/>
        </w:rPr>
      </w:pPr>
    </w:p>
    <w:p w14:paraId="0B91CB8B" w14:textId="77777777" w:rsidR="00125D48" w:rsidRPr="00173681" w:rsidRDefault="00125D48" w:rsidP="00A63B96">
      <w:pPr>
        <w:pStyle w:val="FitSM-table-spacer"/>
        <w:spacing w:before="60" w:after="60"/>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1F53FE07"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33A5176" w14:textId="781DDB9D" w:rsidR="00125D48" w:rsidRPr="00173681" w:rsidRDefault="00000000" w:rsidP="00A63B96">
            <w:pPr>
              <w:pStyle w:val="Heading3ReqTitle"/>
              <w:spacing w:before="60" w:after="60" w:line="259" w:lineRule="auto"/>
              <w:rPr>
                <w:lang w:val="fr-FR"/>
              </w:rPr>
            </w:pPr>
            <w:r w:rsidRPr="00173681">
              <w:rPr>
                <w:sz w:val="28"/>
                <w:szCs w:val="28"/>
                <w:lang w:val="fr-FR"/>
              </w:rPr>
              <w:t xml:space="preserve">PR12 </w:t>
            </w:r>
            <w:r w:rsidR="003B541E" w:rsidRPr="003B541E">
              <w:rPr>
                <w:sz w:val="28"/>
                <w:szCs w:val="28"/>
                <w:lang w:val="fr-FR"/>
              </w:rPr>
              <w:t>Gestion du changement (CHM)</w:t>
            </w:r>
          </w:p>
        </w:tc>
      </w:tr>
      <w:tr w:rsidR="00125D48" w:rsidRPr="00173681" w14:paraId="16BFC298"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4450438"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2E050AEF" w14:textId="77777777">
        <w:trPr>
          <w:trHeight w:val="5156"/>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90A93" w14:textId="77777777" w:rsidR="00125D48" w:rsidRPr="00173681" w:rsidRDefault="00000000" w:rsidP="00A63B96">
            <w:pPr>
              <w:pStyle w:val="AAAfitsmreqs"/>
              <w:numPr>
                <w:ilvl w:val="0"/>
                <w:numId w:val="30"/>
              </w:numPr>
              <w:spacing w:before="60" w:after="60" w:line="259" w:lineRule="auto"/>
              <w:rPr>
                <w:lang w:val="fr-FR"/>
              </w:rPr>
            </w:pPr>
            <w:r w:rsidRPr="00173681">
              <w:rPr>
                <w:lang w:val="fr-FR"/>
              </w:rPr>
              <w:t>PR12.1 Toutes les modifications doivent être enregistrées et classées de manière cohérente. La classification doit être basée sur des critères définis et prendre en compte les différents types de changements, y compris les changements d'urgence et les changements majeurs.</w:t>
            </w:r>
          </w:p>
          <w:p w14:paraId="6B377C92" w14:textId="77777777" w:rsidR="00125D48" w:rsidRPr="00173681" w:rsidRDefault="00000000" w:rsidP="00A63B96">
            <w:pPr>
              <w:pStyle w:val="AAAfitsmreqs"/>
              <w:numPr>
                <w:ilvl w:val="0"/>
                <w:numId w:val="30"/>
              </w:numPr>
              <w:spacing w:before="60" w:after="60" w:line="259" w:lineRule="auto"/>
              <w:rPr>
                <w:lang w:val="fr-FR"/>
              </w:rPr>
            </w:pPr>
            <w:r w:rsidRPr="00173681">
              <w:rPr>
                <w:lang w:val="fr-FR"/>
              </w:rPr>
              <w:t>PR12.2 Pour chaque type de changement, des étapes doivent être définies pour les traiter de manière cohérente.</w:t>
            </w:r>
          </w:p>
          <w:p w14:paraId="4AB2DEB4" w14:textId="77777777" w:rsidR="00125D48" w:rsidRPr="00173681" w:rsidRDefault="00000000" w:rsidP="00A63B96">
            <w:pPr>
              <w:pStyle w:val="AAAfitsmreqs"/>
              <w:numPr>
                <w:ilvl w:val="0"/>
                <w:numId w:val="30"/>
              </w:numPr>
              <w:spacing w:before="60" w:after="60" w:line="259" w:lineRule="auto"/>
              <w:rPr>
                <w:lang w:val="fr-FR"/>
              </w:rPr>
            </w:pPr>
            <w:r w:rsidRPr="00173681">
              <w:rPr>
                <w:lang w:val="fr-FR"/>
              </w:rPr>
              <w:t>PR12.3 Les changements doivent être évalués de manière cohérente, en tenant compte des avantages, des risques, de l'impact potentiel, des efforts nécessaires et de la faisabilité technique.</w:t>
            </w:r>
          </w:p>
          <w:p w14:paraId="4B168E5C" w14:textId="77777777" w:rsidR="00125D48" w:rsidRPr="00173681" w:rsidRDefault="00000000" w:rsidP="00A63B96">
            <w:pPr>
              <w:pStyle w:val="AAAfitsmreqs"/>
              <w:numPr>
                <w:ilvl w:val="0"/>
                <w:numId w:val="30"/>
              </w:numPr>
              <w:spacing w:before="60" w:after="60" w:line="259" w:lineRule="auto"/>
              <w:rPr>
                <w:lang w:val="fr-FR"/>
              </w:rPr>
            </w:pPr>
            <w:r w:rsidRPr="00173681">
              <w:rPr>
                <w:lang w:val="fr-FR"/>
              </w:rPr>
              <w:t>PR12.4 Les modifications doivent être approuvées de manière cohérente. Le niveau d'approbation requis doit être déterminé sur la base de critères définis.</w:t>
            </w:r>
          </w:p>
          <w:p w14:paraId="3B6039A3" w14:textId="77777777" w:rsidR="00125D48" w:rsidRPr="00173681" w:rsidRDefault="00000000" w:rsidP="00A63B96">
            <w:pPr>
              <w:pStyle w:val="AAAfitsmreqs"/>
              <w:numPr>
                <w:ilvl w:val="0"/>
                <w:numId w:val="30"/>
              </w:numPr>
              <w:spacing w:before="60" w:after="60" w:line="259" w:lineRule="auto"/>
              <w:rPr>
                <w:lang w:val="fr-FR"/>
              </w:rPr>
            </w:pPr>
            <w:r w:rsidRPr="00173681">
              <w:rPr>
                <w:lang w:val="fr-FR"/>
              </w:rPr>
              <w:t>PR12.5 Les modifications doivent être soumises à un examen après mise en œuvre, si nécessaire, et clôturées de manière cohérente.</w:t>
            </w:r>
          </w:p>
          <w:p w14:paraId="758FF05D" w14:textId="77777777" w:rsidR="00125D48" w:rsidRPr="00173681" w:rsidRDefault="00000000" w:rsidP="00A63B96">
            <w:pPr>
              <w:pStyle w:val="AAAfitsmreqs"/>
              <w:numPr>
                <w:ilvl w:val="0"/>
                <w:numId w:val="30"/>
              </w:numPr>
              <w:spacing w:before="60" w:after="60" w:line="259" w:lineRule="auto"/>
              <w:rPr>
                <w:lang w:val="fr-FR"/>
              </w:rPr>
            </w:pPr>
            <w:r w:rsidRPr="00173681">
              <w:rPr>
                <w:lang w:val="fr-FR"/>
              </w:rPr>
              <w:t>PR12.6 Un calendrier des changements doit être maintenu. Il doit contenir des détails sur les modifications approuvées et les dates de déploiement prévues, qui seront communiqués aux parties intéressées.</w:t>
            </w:r>
          </w:p>
        </w:tc>
      </w:tr>
    </w:tbl>
    <w:p w14:paraId="12814313" w14:textId="77777777" w:rsidR="00125D48" w:rsidRPr="00173681" w:rsidRDefault="00125D48">
      <w:pPr>
        <w:pStyle w:val="FitSM-table-spacer"/>
        <w:widowControl w:val="0"/>
        <w:spacing w:line="240" w:lineRule="auto"/>
        <w:ind w:left="108" w:hanging="108"/>
        <w:rPr>
          <w:rStyle w:val="tlid-translation"/>
          <w:lang w:val="fr-FR"/>
        </w:rPr>
      </w:pPr>
    </w:p>
    <w:p w14:paraId="03F6F7FD" w14:textId="77777777" w:rsidR="00125D48" w:rsidRPr="00173681" w:rsidRDefault="00125D48">
      <w:pPr>
        <w:pStyle w:val="FitSM-table-spacer"/>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173681" w14:paraId="388E70F8"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4944E59" w14:textId="267AE39B" w:rsidR="00125D48" w:rsidRPr="00173681" w:rsidRDefault="00000000" w:rsidP="00A63B96">
            <w:pPr>
              <w:pStyle w:val="Heading3ReqTitle"/>
              <w:spacing w:before="60" w:after="60" w:line="259" w:lineRule="auto"/>
              <w:rPr>
                <w:lang w:val="fr-FR"/>
              </w:rPr>
            </w:pPr>
            <w:r w:rsidRPr="00173681">
              <w:rPr>
                <w:sz w:val="28"/>
                <w:szCs w:val="28"/>
                <w:lang w:val="fr-FR"/>
              </w:rPr>
              <w:lastRenderedPageBreak/>
              <w:t xml:space="preserve">PR13 </w:t>
            </w:r>
            <w:r w:rsidR="003B541E" w:rsidRPr="003B541E">
              <w:rPr>
                <w:sz w:val="28"/>
                <w:szCs w:val="28"/>
                <w:lang w:val="fr-FR"/>
              </w:rPr>
              <w:t>Gestion des versions et des déploiements (RDM)</w:t>
            </w:r>
          </w:p>
        </w:tc>
      </w:tr>
      <w:tr w:rsidR="00125D48" w:rsidRPr="00173681" w14:paraId="05C7525E"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4B909C41" w14:textId="77777777" w:rsidR="00125D48" w:rsidRPr="00173681" w:rsidRDefault="00000000" w:rsidP="00A63B96">
            <w:pPr>
              <w:pStyle w:val="BoxHeader"/>
              <w:tabs>
                <w:tab w:val="left" w:pos="5136"/>
              </w:tabs>
              <w:rPr>
                <w:lang w:val="fr-FR"/>
              </w:rPr>
            </w:pPr>
            <w:r w:rsidRPr="00173681">
              <w:rPr>
                <w:color w:val="000000"/>
                <w:u w:color="000000"/>
                <w:lang w:val="fr-FR"/>
              </w:rPr>
              <w:t>EXIGENCES</w:t>
            </w:r>
          </w:p>
        </w:tc>
      </w:tr>
      <w:tr w:rsidR="00125D48" w:rsidRPr="00173681" w14:paraId="7848ED9E" w14:textId="77777777">
        <w:trPr>
          <w:trHeight w:val="4853"/>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F9114" w14:textId="77777777" w:rsidR="00125D48" w:rsidRPr="00173681" w:rsidRDefault="00000000" w:rsidP="00A63B96">
            <w:pPr>
              <w:pStyle w:val="AAAfitsmreqs"/>
              <w:numPr>
                <w:ilvl w:val="0"/>
                <w:numId w:val="31"/>
              </w:numPr>
              <w:spacing w:before="60" w:after="60" w:line="259" w:lineRule="auto"/>
              <w:rPr>
                <w:lang w:val="fr-FR"/>
              </w:rPr>
            </w:pPr>
            <w:r w:rsidRPr="00173681">
              <w:rPr>
                <w:lang w:val="fr-FR"/>
              </w:rPr>
              <w:t xml:space="preserve">PR13.1 Les stratégies de mise en production et de déploiement doivent être définies, ainsi que les composants de service et les </w:t>
            </w:r>
            <w:proofErr w:type="spellStart"/>
            <w:r w:rsidRPr="00173681">
              <w:rPr>
                <w:lang w:val="fr-FR"/>
              </w:rPr>
              <w:t>CIs</w:t>
            </w:r>
            <w:proofErr w:type="spellEnd"/>
            <w:r w:rsidRPr="00173681">
              <w:rPr>
                <w:lang w:val="fr-FR"/>
              </w:rPr>
              <w:t xml:space="preserve"> auxquels elles s'appliquent. Les stratégies doivent être alignées sur la fréquence et l'impact des versions ainsi que sur la technologie supportant le déploiement.</w:t>
            </w:r>
          </w:p>
          <w:p w14:paraId="4C5D7732" w14:textId="77777777" w:rsidR="00125D48" w:rsidRPr="00173681" w:rsidRDefault="00000000" w:rsidP="00A63B96">
            <w:pPr>
              <w:pStyle w:val="AAAfitsmreqs"/>
              <w:numPr>
                <w:ilvl w:val="0"/>
                <w:numId w:val="31"/>
              </w:numPr>
              <w:spacing w:before="60" w:after="60" w:line="259" w:lineRule="auto"/>
              <w:rPr>
                <w:lang w:val="fr-FR"/>
              </w:rPr>
            </w:pPr>
            <w:r w:rsidRPr="00173681">
              <w:rPr>
                <w:lang w:val="fr-FR"/>
              </w:rPr>
              <w:t>PR13.2 Les critères d'inclusion des changements approuvés dans une version doivent être définis, en tenant compte de la stratégie de publication et de déploiement applicable.</w:t>
            </w:r>
          </w:p>
          <w:p w14:paraId="38B28538" w14:textId="77777777" w:rsidR="00125D48" w:rsidRPr="00173681" w:rsidRDefault="00000000" w:rsidP="00A63B96">
            <w:pPr>
              <w:pStyle w:val="AAAfitsmreqs"/>
              <w:numPr>
                <w:ilvl w:val="0"/>
                <w:numId w:val="31"/>
              </w:numPr>
              <w:spacing w:before="60" w:after="60" w:line="259" w:lineRule="auto"/>
              <w:rPr>
                <w:lang w:val="fr-FR"/>
              </w:rPr>
            </w:pPr>
            <w:r w:rsidRPr="00173681">
              <w:rPr>
                <w:lang w:val="fr-FR"/>
              </w:rPr>
              <w:t>PR13.3 Le déploiement des versions doit être planifié, y compris les critères d'acceptation, selon les besoins.</w:t>
            </w:r>
          </w:p>
          <w:p w14:paraId="33AD76D5" w14:textId="77777777" w:rsidR="00125D48" w:rsidRPr="00173681" w:rsidRDefault="00000000" w:rsidP="00A63B96">
            <w:pPr>
              <w:pStyle w:val="AAAfitsmreqs"/>
              <w:numPr>
                <w:ilvl w:val="0"/>
                <w:numId w:val="31"/>
              </w:numPr>
              <w:spacing w:before="60" w:after="60" w:line="259" w:lineRule="auto"/>
              <w:rPr>
                <w:lang w:val="fr-FR"/>
              </w:rPr>
            </w:pPr>
            <w:r w:rsidRPr="00173681">
              <w:rPr>
                <w:lang w:val="fr-FR"/>
              </w:rPr>
              <w:t>PR13.4 Les versions doivent être construites, testées et évaluées par rapport aux critères d'acceptation avant d'être déployées. L'étendue des tests des versions doit être adaptée au type de version et à son impact potentiel sur les services.</w:t>
            </w:r>
          </w:p>
          <w:p w14:paraId="20B499C7" w14:textId="77777777" w:rsidR="00125D48" w:rsidRPr="00173681" w:rsidRDefault="00000000" w:rsidP="00A63B96">
            <w:pPr>
              <w:pStyle w:val="AAAfitsmreqs"/>
              <w:numPr>
                <w:ilvl w:val="0"/>
                <w:numId w:val="31"/>
              </w:numPr>
              <w:spacing w:before="60" w:after="60" w:line="259" w:lineRule="auto"/>
              <w:rPr>
                <w:lang w:val="fr-FR"/>
              </w:rPr>
            </w:pPr>
            <w:r w:rsidRPr="00173681">
              <w:rPr>
                <w:lang w:val="fr-FR"/>
              </w:rPr>
              <w:t>PR13.5 La préparation du déploiement doit tenir compte des mesures à prendre en cas de déploiement infructueux.</w:t>
            </w:r>
          </w:p>
          <w:p w14:paraId="4B7C3D4F" w14:textId="77777777" w:rsidR="00125D48" w:rsidRPr="00173681" w:rsidRDefault="00000000" w:rsidP="00A63B96">
            <w:pPr>
              <w:pStyle w:val="AAAfitsmreqs"/>
              <w:numPr>
                <w:ilvl w:val="0"/>
                <w:numId w:val="31"/>
              </w:numPr>
              <w:spacing w:before="60" w:after="60" w:line="259" w:lineRule="auto"/>
              <w:rPr>
                <w:lang w:val="fr-FR"/>
              </w:rPr>
            </w:pPr>
            <w:r w:rsidRPr="00173681">
              <w:rPr>
                <w:lang w:val="fr-FR"/>
              </w:rPr>
              <w:t>PR13.6 Les activités de déploiement doivent être évaluées en fonction de leur réussite ou de leur échec.</w:t>
            </w:r>
          </w:p>
        </w:tc>
      </w:tr>
    </w:tbl>
    <w:p w14:paraId="20D0B226" w14:textId="77777777" w:rsidR="00125D48" w:rsidRPr="00173681" w:rsidRDefault="00125D48">
      <w:pPr>
        <w:pStyle w:val="FitSM-table-spacer"/>
        <w:widowControl w:val="0"/>
        <w:spacing w:line="240" w:lineRule="auto"/>
        <w:ind w:left="108" w:hanging="108"/>
        <w:rPr>
          <w:rStyle w:val="tlid-translation"/>
          <w:lang w:val="fr-FR"/>
        </w:rPr>
      </w:pPr>
    </w:p>
    <w:p w14:paraId="014F1714" w14:textId="77777777" w:rsidR="00125D48" w:rsidRPr="00173681" w:rsidRDefault="00125D48">
      <w:pPr>
        <w:pStyle w:val="FitSM-table-spacer"/>
        <w:rPr>
          <w:rStyle w:val="tlid-translation"/>
          <w:lang w:val="fr-FR"/>
        </w:rPr>
      </w:pPr>
    </w:p>
    <w:tbl>
      <w:tblPr>
        <w:tblW w:w="8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08"/>
      </w:tblGrid>
      <w:tr w:rsidR="00125D48" w:rsidRPr="003B541E" w14:paraId="5682B909" w14:textId="77777777">
        <w:trPr>
          <w:trHeight w:val="308"/>
        </w:trPr>
        <w:tc>
          <w:tcPr>
            <w:tcW w:w="890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2350161" w14:textId="504FD9E6" w:rsidR="00125D48" w:rsidRPr="00173681" w:rsidRDefault="00000000" w:rsidP="00A63B96">
            <w:pPr>
              <w:pStyle w:val="Heading3ReqTitle"/>
              <w:spacing w:before="60" w:after="60" w:line="259" w:lineRule="auto"/>
              <w:rPr>
                <w:lang w:val="fr-FR"/>
              </w:rPr>
            </w:pPr>
            <w:r w:rsidRPr="00173681">
              <w:rPr>
                <w:sz w:val="28"/>
                <w:szCs w:val="28"/>
                <w:lang w:val="fr-FR"/>
              </w:rPr>
              <w:t xml:space="preserve">PR14 </w:t>
            </w:r>
            <w:r w:rsidR="003B541E" w:rsidRPr="003B541E">
              <w:rPr>
                <w:sz w:val="28"/>
                <w:szCs w:val="28"/>
                <w:lang w:val="fr-FR"/>
              </w:rPr>
              <w:t>Gestion de l'amélioration continue du service (CSI)</w:t>
            </w:r>
          </w:p>
        </w:tc>
      </w:tr>
      <w:tr w:rsidR="00125D48" w:rsidRPr="00173681" w14:paraId="01150B12" w14:textId="77777777">
        <w:trPr>
          <w:trHeight w:val="257"/>
        </w:trPr>
        <w:tc>
          <w:tcPr>
            <w:tcW w:w="890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001688E" w14:textId="77777777" w:rsidR="00125D48" w:rsidRPr="00173681" w:rsidRDefault="00000000">
            <w:pPr>
              <w:pStyle w:val="BoxHeader"/>
              <w:tabs>
                <w:tab w:val="left" w:pos="5136"/>
              </w:tabs>
              <w:rPr>
                <w:lang w:val="fr-FR"/>
              </w:rPr>
            </w:pPr>
            <w:r w:rsidRPr="00173681">
              <w:rPr>
                <w:color w:val="000000"/>
                <w:u w:color="000000"/>
                <w:lang w:val="fr-FR"/>
              </w:rPr>
              <w:t>EXIGENCES</w:t>
            </w:r>
          </w:p>
        </w:tc>
      </w:tr>
      <w:tr w:rsidR="00125D48" w:rsidRPr="00173681" w14:paraId="2A44B48E" w14:textId="77777777">
        <w:trPr>
          <w:trHeight w:val="2195"/>
        </w:trPr>
        <w:tc>
          <w:tcPr>
            <w:tcW w:w="8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67234" w14:textId="77777777" w:rsidR="00125D48" w:rsidRPr="00173681" w:rsidRDefault="00000000" w:rsidP="00A63B96">
            <w:pPr>
              <w:pStyle w:val="AAAfitsmreqs"/>
              <w:numPr>
                <w:ilvl w:val="0"/>
                <w:numId w:val="32"/>
              </w:numPr>
              <w:spacing w:before="60" w:after="60" w:line="259" w:lineRule="auto"/>
              <w:ind w:hanging="357"/>
              <w:rPr>
                <w:lang w:val="fr-FR"/>
              </w:rPr>
            </w:pPr>
            <w:r w:rsidRPr="00173681">
              <w:rPr>
                <w:lang w:val="fr-FR"/>
              </w:rPr>
              <w:t>PR14.1 Les opportunités d'amélioration des services et des processus doivent être identifiées et enregistrées, sur la base des rapports de services ainsi que des résultats des métriques, contrôles et audits du SMS.</w:t>
            </w:r>
          </w:p>
          <w:p w14:paraId="5268055D" w14:textId="77777777" w:rsidR="00125D48" w:rsidRPr="00173681" w:rsidRDefault="00000000" w:rsidP="00A63B96">
            <w:pPr>
              <w:pStyle w:val="AAAfitsmreqs"/>
              <w:numPr>
                <w:ilvl w:val="0"/>
                <w:numId w:val="32"/>
              </w:numPr>
              <w:spacing w:before="60" w:after="60" w:line="259" w:lineRule="auto"/>
              <w:ind w:hanging="357"/>
              <w:rPr>
                <w:lang w:val="fr-FR"/>
              </w:rPr>
            </w:pPr>
            <w:r w:rsidRPr="00173681">
              <w:rPr>
                <w:lang w:val="fr-FR"/>
              </w:rPr>
              <w:t>PR14.2 Les opportunités d'amélioration doivent être évaluées de manière cohérente et les actions pour y répondre identifiées.</w:t>
            </w:r>
          </w:p>
          <w:p w14:paraId="7BA2A945" w14:textId="77777777" w:rsidR="00125D48" w:rsidRPr="00173681" w:rsidRDefault="00000000" w:rsidP="00A63B96">
            <w:pPr>
              <w:pStyle w:val="AAAfitsmreqs"/>
              <w:numPr>
                <w:ilvl w:val="0"/>
                <w:numId w:val="32"/>
              </w:numPr>
              <w:spacing w:before="60" w:after="60" w:line="259" w:lineRule="auto"/>
              <w:ind w:hanging="357"/>
              <w:rPr>
                <w:lang w:val="fr-FR"/>
              </w:rPr>
            </w:pPr>
            <w:r w:rsidRPr="00173681">
              <w:rPr>
                <w:lang w:val="fr-FR"/>
              </w:rPr>
              <w:t>PR14.3 La mise en œuvre des actions d'amélioration doit être contrôlée de manière cohérente.</w:t>
            </w:r>
          </w:p>
        </w:tc>
      </w:tr>
    </w:tbl>
    <w:p w14:paraId="28CF6210" w14:textId="77777777" w:rsidR="00125D48" w:rsidRPr="00173681" w:rsidRDefault="00125D48">
      <w:pPr>
        <w:pStyle w:val="FitSM-table-spacer"/>
        <w:widowControl w:val="0"/>
        <w:spacing w:line="240" w:lineRule="auto"/>
        <w:ind w:left="108" w:hanging="108"/>
        <w:rPr>
          <w:lang w:val="fr-FR"/>
        </w:rPr>
      </w:pPr>
    </w:p>
    <w:sectPr w:rsidR="00125D48" w:rsidRPr="00173681" w:rsidSect="00772A11">
      <w:headerReference w:type="default" r:id="rId26"/>
      <w:footerReference w:type="default" r:id="rId27"/>
      <w:pgSz w:w="11900" w:h="16840"/>
      <w:pgMar w:top="1440" w:right="1440" w:bottom="111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2D7A" w14:textId="77777777" w:rsidR="0022301F" w:rsidRDefault="0022301F" w:rsidP="0032665A">
      <w:r>
        <w:separator/>
      </w:r>
    </w:p>
  </w:endnote>
  <w:endnote w:type="continuationSeparator" w:id="0">
    <w:p w14:paraId="67BD199C" w14:textId="77777777" w:rsidR="0022301F" w:rsidRDefault="0022301F" w:rsidP="0032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CA19" w14:textId="77777777" w:rsidR="0032665A" w:rsidRDefault="0032665A" w:rsidP="0032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DE1E" w14:textId="77777777" w:rsidR="0032665A" w:rsidRDefault="0032665A" w:rsidP="00326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C42" w14:textId="77777777" w:rsidR="0032665A" w:rsidRDefault="0032665A" w:rsidP="003266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FBD8" w14:textId="7AA280D6" w:rsidR="00125D48" w:rsidRPr="0032665A" w:rsidRDefault="0032665A" w:rsidP="0032665A">
    <w:pPr>
      <w:pStyle w:val="FitSM-acknowledgement-footer"/>
      <w:tabs>
        <w:tab w:val="clear" w:pos="9026"/>
        <w:tab w:val="right" w:pos="9000"/>
      </w:tabs>
      <w:rPr>
        <w:lang w:val="it-IT"/>
      </w:rPr>
    </w:pPr>
    <w:r>
      <w:rPr>
        <w:noProof/>
        <w:lang w:val="fr-FR"/>
      </w:rPr>
      <w:drawing>
        <wp:anchor distT="152400" distB="152400" distL="152400" distR="152400" simplePos="0" relativeHeight="251660288" behindDoc="1" locked="0" layoutInCell="1" allowOverlap="1" wp14:anchorId="5302E273" wp14:editId="15CAC5CB">
          <wp:simplePos x="0" y="0"/>
          <wp:positionH relativeFrom="page">
            <wp:posOffset>1137096</wp:posOffset>
          </wp:positionH>
          <wp:positionV relativeFrom="page">
            <wp:posOffset>9987226</wp:posOffset>
          </wp:positionV>
          <wp:extent cx="523239" cy="355600"/>
          <wp:effectExtent l="0" t="0" r="0" b="0"/>
          <wp:wrapNone/>
          <wp:docPr id="2136078386" name="Picture 2136078386" descr="Macintosh HD:Users:owen:Google Drive:ETL online:FedSM:Branding:Useful logos etc:EC_logo.jpeg"/>
          <wp:cNvGraphicFramePr/>
          <a:graphic xmlns:a="http://schemas.openxmlformats.org/drawingml/2006/main">
            <a:graphicData uri="http://schemas.openxmlformats.org/drawingml/2006/picture">
              <pic:pic xmlns:pic="http://schemas.openxmlformats.org/drawingml/2006/picture">
                <pic:nvPicPr>
                  <pic:cNvPr id="1073741837" name="Macintosh HD:Users:owen:Google Drive:ETL online:FedSM:Branding:Useful logos etc:EC_logo.jpeg" descr="Macintosh HD:Users:owen:Google Drive:ETL online:FedSM:Branding:Useful logos etc:EC_logo.jpeg"/>
                  <pic:cNvPicPr>
                    <a:picLocks noChangeAspect="1"/>
                  </pic:cNvPicPr>
                </pic:nvPicPr>
                <pic:blipFill>
                  <a:blip r:embed="rId1"/>
                  <a:stretch>
                    <a:fillRect/>
                  </a:stretch>
                </pic:blipFill>
                <pic:spPr>
                  <a:xfrm>
                    <a:off x="0" y="0"/>
                    <a:ext cx="523239" cy="355600"/>
                  </a:xfrm>
                  <a:prstGeom prst="rect">
                    <a:avLst/>
                  </a:prstGeom>
                  <a:ln w="12700" cap="flat">
                    <a:noFill/>
                    <a:miter lim="400000"/>
                  </a:ln>
                  <a:effectLst/>
                </pic:spPr>
              </pic:pic>
            </a:graphicData>
          </a:graphic>
        </wp:anchor>
      </w:drawing>
    </w:r>
    <w:r>
      <w:rPr>
        <w:noProof/>
        <w:lang w:val="fr-FR"/>
      </w:rPr>
      <w:drawing>
        <wp:anchor distT="152400" distB="152400" distL="152400" distR="152400" simplePos="0" relativeHeight="251658240" behindDoc="1" locked="0" layoutInCell="1" allowOverlap="1" wp14:anchorId="3B456CB7" wp14:editId="2E196D7B">
          <wp:simplePos x="0" y="0"/>
          <wp:positionH relativeFrom="page">
            <wp:posOffset>0</wp:posOffset>
          </wp:positionH>
          <wp:positionV relativeFrom="page">
            <wp:posOffset>9815587</wp:posOffset>
          </wp:positionV>
          <wp:extent cx="7563478" cy="885190"/>
          <wp:effectExtent l="0" t="0" r="0" b="0"/>
          <wp:wrapNone/>
          <wp:docPr id="838461688" name="Picture 838461688" descr="Grafik 11"/>
          <wp:cNvGraphicFramePr/>
          <a:graphic xmlns:a="http://schemas.openxmlformats.org/drawingml/2006/main">
            <a:graphicData uri="http://schemas.openxmlformats.org/drawingml/2006/picture">
              <pic:pic xmlns:pic="http://schemas.openxmlformats.org/drawingml/2006/picture">
                <pic:nvPicPr>
                  <pic:cNvPr id="1073741836" name="Grafik 11" descr="Grafik 11"/>
                  <pic:cNvPicPr>
                    <a:picLocks noChangeAspect="1"/>
                  </pic:cNvPicPr>
                </pic:nvPicPr>
                <pic:blipFill>
                  <a:blip r:embed="rId2"/>
                  <a:srcRect t="84500"/>
                  <a:stretch>
                    <a:fillRect/>
                  </a:stretch>
                </pic:blipFill>
                <pic:spPr>
                  <a:xfrm>
                    <a:off x="0" y="0"/>
                    <a:ext cx="7563478" cy="885190"/>
                  </a:xfrm>
                  <a:prstGeom prst="rect">
                    <a:avLst/>
                  </a:prstGeom>
                  <a:ln w="12700" cap="flat">
                    <a:noFill/>
                    <a:miter lim="400000"/>
                  </a:ln>
                  <a:effectLst/>
                </pic:spPr>
              </pic:pic>
            </a:graphicData>
          </a:graphic>
        </wp:anchor>
      </w:drawing>
    </w:r>
    <w:r>
      <w:rPr>
        <w:lang w:val="fr-FR"/>
      </w:rPr>
      <w:t xml:space="preserve">    </w:t>
    </w:r>
    <w:r>
      <w:rPr>
        <w:lang w:val="fr-FR"/>
      </w:rPr>
      <w:tab/>
      <w:t xml:space="preserve">                         FitSM a été cofinancé par la Commission Européenne sous le numéro de contrat 312851.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1BAF" w14:textId="3B166174" w:rsidR="00125D48" w:rsidRDefault="00000000" w:rsidP="0032665A">
    <w:pPr>
      <w:pStyle w:val="Footer"/>
      <w:tabs>
        <w:tab w:val="clear" w:pos="9026"/>
        <w:tab w:val="right" w:pos="9000"/>
      </w:tabs>
    </w:pPr>
    <w:r>
      <w:rPr>
        <w:color w:val="FFFFFF"/>
        <w:u w:color="FFFFFF"/>
      </w:rPr>
      <w:t xml:space="preserve">Page </w:t>
    </w:r>
    <w:r>
      <w:rPr>
        <w:color w:val="FFFFFF"/>
        <w:u w:color="FFFFFF"/>
      </w:rPr>
      <w:fldChar w:fldCharType="begin"/>
    </w:r>
    <w:r>
      <w:rPr>
        <w:color w:val="FFFFFF"/>
        <w:u w:color="FFFFFF"/>
      </w:rPr>
      <w:instrText xml:space="preserve"> PAGE </w:instrText>
    </w:r>
    <w:r>
      <w:rPr>
        <w:color w:val="FFFFFF"/>
        <w:u w:color="FFFFFF"/>
      </w:rPr>
      <w:fldChar w:fldCharType="separate"/>
    </w:r>
    <w:r w:rsidR="00BB0FAF">
      <w:rPr>
        <w:noProof/>
        <w:color w:val="FFFFFF"/>
        <w:u w:color="FFFFFF"/>
      </w:rPr>
      <w:t>1</w:t>
    </w:r>
    <w:r>
      <w:rPr>
        <w:color w:val="FFFFFF"/>
        <w:u w:color="FFFFFF"/>
      </w:rPr>
      <w:fldChar w:fldCharType="end"/>
    </w:r>
    <w:r>
      <w:rPr>
        <w:color w:val="FFFFFF"/>
        <w:u w:color="FFFFFF"/>
      </w:rPr>
      <w:t xml:space="preserve"> </w:t>
    </w:r>
    <w:r>
      <w:rPr>
        <w:rStyle w:val="tlid-translation"/>
      </w:rPr>
      <w:tab/>
    </w:r>
    <w:r>
      <w:rPr>
        <w:rStyle w:val="tlid-translation"/>
      </w:rPr>
      <w:tab/>
    </w:r>
    <w:r>
      <w:rPr>
        <w:color w:val="FFFFFF"/>
        <w:u w:color="FFFFFF"/>
      </w:rPr>
      <w:t>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ABF6" w14:textId="77777777" w:rsidR="0022301F" w:rsidRDefault="0022301F" w:rsidP="0032665A">
      <w:r>
        <w:separator/>
      </w:r>
    </w:p>
  </w:footnote>
  <w:footnote w:type="continuationSeparator" w:id="0">
    <w:p w14:paraId="7AD6EFDA" w14:textId="77777777" w:rsidR="0022301F" w:rsidRDefault="0022301F" w:rsidP="0032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75FF" w14:textId="77777777" w:rsidR="0032665A" w:rsidRDefault="0032665A" w:rsidP="00326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41C" w14:textId="77777777" w:rsidR="00125D48" w:rsidRDefault="00000000" w:rsidP="0032665A">
    <w:pPr>
      <w:pStyle w:val="Header"/>
      <w:tabs>
        <w:tab w:val="clear" w:pos="9026"/>
        <w:tab w:val="right" w:pos="9000"/>
      </w:tabs>
    </w:pPr>
    <w:r>
      <w:rPr>
        <w:noProof/>
      </w:rPr>
      <w:drawing>
        <wp:anchor distT="152400" distB="152400" distL="152400" distR="152400" simplePos="0" relativeHeight="251655168" behindDoc="1" locked="0" layoutInCell="1" allowOverlap="1" wp14:anchorId="096C0888" wp14:editId="10900308">
          <wp:simplePos x="0" y="0"/>
          <wp:positionH relativeFrom="page">
            <wp:posOffset>11110</wp:posOffset>
          </wp:positionH>
          <wp:positionV relativeFrom="page">
            <wp:posOffset>0</wp:posOffset>
          </wp:positionV>
          <wp:extent cx="7549200" cy="10677601"/>
          <wp:effectExtent l="0" t="0" r="0" b="0"/>
          <wp:wrapNone/>
          <wp:docPr id="1073741825" name="officeArt object" descr="D:\Google Drive\ETL online\FedSM\FitSM\FitSM Branding\Reusable graphics\Background0.1-b.png"/>
          <wp:cNvGraphicFramePr/>
          <a:graphic xmlns:a="http://schemas.openxmlformats.org/drawingml/2006/main">
            <a:graphicData uri="http://schemas.openxmlformats.org/drawingml/2006/picture">
              <pic:pic xmlns:pic="http://schemas.openxmlformats.org/drawingml/2006/picture">
                <pic:nvPicPr>
                  <pic:cNvPr id="1073741825" name="D:\Google Drive\ETL online\FedSM\FitSM\FitSM Branding\Reusable graphics\Background0.1-b.png" descr="D:\Google Drive\ETL online\FedSM\FitSM\FitSM Branding\Reusable graphics\Background0.1-b.png"/>
                  <pic:cNvPicPr>
                    <a:picLocks noChangeAspect="1"/>
                  </pic:cNvPicPr>
                </pic:nvPicPr>
                <pic:blipFill>
                  <a:blip r:embed="rId1"/>
                  <a:stretch>
                    <a:fillRect/>
                  </a:stretch>
                </pic:blipFill>
                <pic:spPr>
                  <a:xfrm>
                    <a:off x="0" y="0"/>
                    <a:ext cx="7549200" cy="10677601"/>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F533" w14:textId="77777777" w:rsidR="0032665A" w:rsidRDefault="0032665A" w:rsidP="003266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BF34" w14:textId="594301A2" w:rsidR="00125D48" w:rsidRDefault="00000000" w:rsidP="0032665A">
    <w:pPr>
      <w:pStyle w:val="Header"/>
      <w:tabs>
        <w:tab w:val="clear" w:pos="9026"/>
        <w:tab w:val="right" w:pos="9000"/>
      </w:tabs>
    </w:pPr>
    <w:r>
      <w:rPr>
        <w:noProof/>
        <w:lang w:val="fr-FR"/>
      </w:rPr>
      <w:drawing>
        <wp:anchor distT="152400" distB="152400" distL="152400" distR="152400" simplePos="0" relativeHeight="251656192" behindDoc="1" locked="0" layoutInCell="1" allowOverlap="1" wp14:anchorId="7FD0F12A" wp14:editId="0896A20A">
          <wp:simplePos x="0" y="0"/>
          <wp:positionH relativeFrom="page">
            <wp:posOffset>236764</wp:posOffset>
          </wp:positionH>
          <wp:positionV relativeFrom="page">
            <wp:posOffset>250280</wp:posOffset>
          </wp:positionV>
          <wp:extent cx="532800" cy="532800"/>
          <wp:effectExtent l="0" t="0" r="0" b="0"/>
          <wp:wrapNone/>
          <wp:docPr id="437878557" name="Picture 437878557" descr="Picture 26"/>
          <wp:cNvGraphicFramePr/>
          <a:graphic xmlns:a="http://schemas.openxmlformats.org/drawingml/2006/main">
            <a:graphicData uri="http://schemas.openxmlformats.org/drawingml/2006/picture">
              <pic:pic xmlns:pic="http://schemas.openxmlformats.org/drawingml/2006/picture">
                <pic:nvPicPr>
                  <pic:cNvPr id="1073741835" name="Picture 26" descr="Picture 26"/>
                  <pic:cNvPicPr>
                    <a:picLocks noChangeAspect="1"/>
                  </pic:cNvPicPr>
                </pic:nvPicPr>
                <pic:blipFill>
                  <a:blip r:embed="rId1"/>
                  <a:stretch>
                    <a:fillRect/>
                  </a:stretch>
                </pic:blipFill>
                <pic:spPr>
                  <a:xfrm>
                    <a:off x="0" y="0"/>
                    <a:ext cx="532800" cy="532800"/>
                  </a:xfrm>
                  <a:prstGeom prst="rect">
                    <a:avLst/>
                  </a:prstGeom>
                  <a:ln w="12700" cap="flat">
                    <a:noFill/>
                    <a:miter lim="400000"/>
                  </a:ln>
                  <a:effectLst/>
                </pic:spPr>
              </pic:pic>
            </a:graphicData>
          </a:graphic>
        </wp:anchor>
      </w:drawing>
    </w:r>
    <w:r>
      <w:rPr>
        <w:color w:val="1F4E79"/>
        <w:u w:color="1F4E79"/>
        <w:lang w:val="fr-FR"/>
      </w:rPr>
      <w:t xml:space="preserve">Partie 1 : Exigences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4E59" w14:textId="77777777" w:rsidR="00125D48" w:rsidRDefault="00000000" w:rsidP="0032665A">
    <w:pPr>
      <w:pStyle w:val="Header"/>
      <w:tabs>
        <w:tab w:val="clear" w:pos="9026"/>
        <w:tab w:val="right" w:pos="9000"/>
      </w:tabs>
    </w:pPr>
    <w:r>
      <w:rPr>
        <w:noProof/>
        <w:lang w:val="fr-FR"/>
      </w:rPr>
      <w:drawing>
        <wp:anchor distT="152400" distB="152400" distL="152400" distR="152400" simplePos="0" relativeHeight="251657216" behindDoc="1" locked="0" layoutInCell="1" allowOverlap="1" wp14:anchorId="5972C4E1" wp14:editId="3B312E7D">
          <wp:simplePos x="0" y="0"/>
          <wp:positionH relativeFrom="page">
            <wp:posOffset>269422</wp:posOffset>
          </wp:positionH>
          <wp:positionV relativeFrom="page">
            <wp:posOffset>278856</wp:posOffset>
          </wp:positionV>
          <wp:extent cx="532800" cy="532800"/>
          <wp:effectExtent l="0" t="0" r="0" b="0"/>
          <wp:wrapNone/>
          <wp:docPr id="1073741838" name="officeArt object" descr="Picture 16"/>
          <wp:cNvGraphicFramePr/>
          <a:graphic xmlns:a="http://schemas.openxmlformats.org/drawingml/2006/main">
            <a:graphicData uri="http://schemas.openxmlformats.org/drawingml/2006/picture">
              <pic:pic xmlns:pic="http://schemas.openxmlformats.org/drawingml/2006/picture">
                <pic:nvPicPr>
                  <pic:cNvPr id="1073741838" name="Picture 16" descr="Picture 16"/>
                  <pic:cNvPicPr>
                    <a:picLocks noChangeAspect="1"/>
                  </pic:cNvPicPr>
                </pic:nvPicPr>
                <pic:blipFill>
                  <a:blip r:embed="rId1"/>
                  <a:stretch>
                    <a:fillRect/>
                  </a:stretch>
                </pic:blipFill>
                <pic:spPr>
                  <a:xfrm>
                    <a:off x="0" y="0"/>
                    <a:ext cx="532800" cy="532800"/>
                  </a:xfrm>
                  <a:prstGeom prst="rect">
                    <a:avLst/>
                  </a:prstGeom>
                  <a:ln w="12700" cap="flat">
                    <a:noFill/>
                    <a:miter lim="400000"/>
                  </a:ln>
                  <a:effectLst/>
                </pic:spPr>
              </pic:pic>
            </a:graphicData>
          </a:graphic>
        </wp:anchor>
      </w:drawing>
    </w:r>
    <w:r>
      <w:rPr>
        <w:noProof/>
        <w:lang w:val="fr-FR"/>
      </w:rPr>
      <mc:AlternateContent>
        <mc:Choice Requires="wpg">
          <w:drawing>
            <wp:anchor distT="152400" distB="152400" distL="152400" distR="152400" simplePos="0" relativeHeight="251659264" behindDoc="1" locked="0" layoutInCell="1" allowOverlap="1" wp14:anchorId="16918E5F" wp14:editId="690F9053">
              <wp:simplePos x="0" y="0"/>
              <wp:positionH relativeFrom="page">
                <wp:posOffset>781048</wp:posOffset>
              </wp:positionH>
              <wp:positionV relativeFrom="page">
                <wp:posOffset>10077448</wp:posOffset>
              </wp:positionV>
              <wp:extent cx="6019761" cy="152400"/>
              <wp:effectExtent l="0" t="0" r="0" b="0"/>
              <wp:wrapNone/>
              <wp:docPr id="1073741841" name="officeArt object" descr="Grafik 218"/>
              <wp:cNvGraphicFramePr/>
              <a:graphic xmlns:a="http://schemas.openxmlformats.org/drawingml/2006/main">
                <a:graphicData uri="http://schemas.microsoft.com/office/word/2010/wordprocessingGroup">
                  <wpg:wgp>
                    <wpg:cNvGrpSpPr/>
                    <wpg:grpSpPr>
                      <a:xfrm>
                        <a:off x="0" y="0"/>
                        <a:ext cx="6019761" cy="152400"/>
                        <a:chOff x="0" y="0"/>
                        <a:chExt cx="6019760" cy="152399"/>
                      </a:xfrm>
                    </wpg:grpSpPr>
                    <wps:wsp>
                      <wps:cNvPr id="1073741839" name="Shape"/>
                      <wps:cNvSpPr/>
                      <wps:spPr>
                        <a:xfrm>
                          <a:off x="-1" y="0"/>
                          <a:ext cx="6019762" cy="152400"/>
                        </a:xfrm>
                        <a:custGeom>
                          <a:avLst/>
                          <a:gdLst/>
                          <a:ahLst/>
                          <a:cxnLst>
                            <a:cxn ang="0">
                              <a:pos x="wd2" y="hd2"/>
                            </a:cxn>
                            <a:cxn ang="5400000">
                              <a:pos x="wd2" y="hd2"/>
                            </a:cxn>
                            <a:cxn ang="10800000">
                              <a:pos x="wd2" y="hd2"/>
                            </a:cxn>
                            <a:cxn ang="16200000">
                              <a:pos x="wd2" y="hd2"/>
                            </a:cxn>
                          </a:cxnLst>
                          <a:rect l="0" t="0" r="r" b="b"/>
                          <a:pathLst>
                            <a:path w="21600" h="21600" extrusionOk="0">
                              <a:moveTo>
                                <a:pt x="0" y="1856"/>
                              </a:moveTo>
                              <a:lnTo>
                                <a:pt x="0" y="1856"/>
                              </a:lnTo>
                              <a:cubicBezTo>
                                <a:pt x="0" y="831"/>
                                <a:pt x="21" y="0"/>
                                <a:pt x="47" y="0"/>
                              </a:cubicBezTo>
                              <a:lnTo>
                                <a:pt x="21553" y="0"/>
                              </a:lnTo>
                              <a:lnTo>
                                <a:pt x="21553" y="0"/>
                              </a:lnTo>
                              <a:cubicBezTo>
                                <a:pt x="21579" y="0"/>
                                <a:pt x="21600" y="831"/>
                                <a:pt x="21600" y="1856"/>
                              </a:cubicBezTo>
                              <a:lnTo>
                                <a:pt x="21600" y="19744"/>
                              </a:lnTo>
                              <a:lnTo>
                                <a:pt x="21600" y="19744"/>
                              </a:lnTo>
                              <a:cubicBezTo>
                                <a:pt x="21600" y="20769"/>
                                <a:pt x="21579" y="21600"/>
                                <a:pt x="21553" y="21600"/>
                              </a:cubicBezTo>
                              <a:lnTo>
                                <a:pt x="47" y="21600"/>
                              </a:lnTo>
                              <a:lnTo>
                                <a:pt x="47" y="21600"/>
                              </a:lnTo>
                              <a:cubicBezTo>
                                <a:pt x="21" y="21600"/>
                                <a:pt x="0" y="20769"/>
                                <a:pt x="0" y="19744"/>
                              </a:cubicBezTo>
                              <a:close/>
                            </a:path>
                          </a:pathLst>
                        </a:custGeom>
                        <a:solidFill>
                          <a:srgbClr val="EDEDED"/>
                        </a:solidFill>
                        <a:ln w="12700" cap="flat">
                          <a:noFill/>
                          <a:miter lim="400000"/>
                        </a:ln>
                        <a:effectLst/>
                      </wps:spPr>
                      <wps:bodyPr/>
                    </wps:wsp>
                    <pic:pic xmlns:pic="http://schemas.openxmlformats.org/drawingml/2006/picture">
                      <pic:nvPicPr>
                        <pic:cNvPr id="1073741840" name="image2.png" descr="image2.png"/>
                        <pic:cNvPicPr>
                          <a:picLocks noChangeAspect="1"/>
                        </pic:cNvPicPr>
                      </pic:nvPicPr>
                      <pic:blipFill>
                        <a:blip r:embed="rId2"/>
                        <a:srcRect/>
                        <a:stretch>
                          <a:fillRect/>
                        </a:stretch>
                      </pic:blipFill>
                      <pic:spPr>
                        <a:xfrm>
                          <a:off x="0" y="0"/>
                          <a:ext cx="6019761" cy="152400"/>
                        </a:xfrm>
                        <a:custGeom>
                          <a:avLst/>
                          <a:gdLst/>
                          <a:ahLst/>
                          <a:cxnLst>
                            <a:cxn ang="0">
                              <a:pos x="wd2" y="hd2"/>
                            </a:cxn>
                            <a:cxn ang="5400000">
                              <a:pos x="wd2" y="hd2"/>
                            </a:cxn>
                            <a:cxn ang="10800000">
                              <a:pos x="wd2" y="hd2"/>
                            </a:cxn>
                            <a:cxn ang="16200000">
                              <a:pos x="wd2" y="hd2"/>
                            </a:cxn>
                          </a:cxnLst>
                          <a:rect l="0" t="0" r="r" b="b"/>
                          <a:pathLst>
                            <a:path w="21600" h="21600" extrusionOk="0">
                              <a:moveTo>
                                <a:pt x="47" y="0"/>
                              </a:moveTo>
                              <a:cubicBezTo>
                                <a:pt x="21" y="0"/>
                                <a:pt x="0" y="831"/>
                                <a:pt x="0" y="1856"/>
                              </a:cubicBezTo>
                              <a:lnTo>
                                <a:pt x="0" y="19744"/>
                              </a:lnTo>
                              <a:cubicBezTo>
                                <a:pt x="0" y="20769"/>
                                <a:pt x="21" y="21600"/>
                                <a:pt x="47" y="21600"/>
                              </a:cubicBezTo>
                              <a:lnTo>
                                <a:pt x="21553" y="21600"/>
                              </a:lnTo>
                              <a:cubicBezTo>
                                <a:pt x="21579" y="21600"/>
                                <a:pt x="21600" y="20769"/>
                                <a:pt x="21600" y="19744"/>
                              </a:cubicBezTo>
                              <a:lnTo>
                                <a:pt x="21600" y="1856"/>
                              </a:lnTo>
                              <a:cubicBezTo>
                                <a:pt x="21600" y="831"/>
                                <a:pt x="21579" y="0"/>
                                <a:pt x="21553" y="0"/>
                              </a:cubicBezTo>
                              <a:lnTo>
                                <a:pt x="47" y="0"/>
                              </a:lnTo>
                              <a:close/>
                            </a:path>
                          </a:pathLst>
                        </a:custGeom>
                        <a:ln w="12700" cap="flat">
                          <a:noFill/>
                          <a:miter lim="400000"/>
                        </a:ln>
                        <a:effectLst/>
                      </pic:spPr>
                    </pic:pic>
                  </wpg:wgp>
                </a:graphicData>
              </a:graphic>
            </wp:anchor>
          </w:drawing>
        </mc:Choice>
        <mc:Fallback xmlns:w16du="http://schemas.microsoft.com/office/word/2023/wordml/word16du">
          <w:pict>
            <v:group id="_x0000_s1031" style="visibility:visible;position:absolute;margin-left:61.5pt;margin-top:793.5pt;width:474.0pt;height:12.0pt;z-index:-251657216;mso-position-horizontal:absolute;mso-position-horizontal-relative:page;mso-position-vertical:absolute;mso-position-vertical-relative:page;mso-wrap-distance-left:12.0pt;mso-wrap-distance-top:12.0pt;mso-wrap-distance-right:12.0pt;mso-wrap-distance-bottom:12.0pt;" coordorigin="0,0" coordsize="6019760,152399">
              <w10:wrap type="none" side="bothSides" anchorx="page" anchory="page"/>
              <v:shape id="_x0000_s1032" style="position:absolute;left:0;top:0;width:6019760;height:152399;" coordorigin="0,0" coordsize="21600,21600" path="M 0,1856 L 0,1856 C 0,831 21,0 47,0 L 21553,0 L 21553,0 C 21579,0 21600,831 21600,1856 L 21600,19744 L 21600,19744 C 21600,20769 21579,21600 21553,21600 L 47,21600 L 47,21600 C 21,21600 0,20769 0,19744 X E">
                <v:fill color="#EDEDED" opacity="100.0%" type="solid"/>
                <v:stroke on="f" weight="1.0pt" dashstyle="solid" endcap="flat" miterlimit="400.0%" joinstyle="miter" linestyle="single" startarrow="none" startarrowwidth="medium" startarrowlength="medium" endarrow="none" endarrowwidth="medium" endarrowlength="medium"/>
              </v:shape>
              <v:shape id="_x0000_s1033" type="#_x0000_t75" style="position:absolute;left:0;top:0;width:6019760;height:152399;">
                <v:imagedata r:id="rId3" o:title="image2.png"/>
              </v:shape>
            </v:group>
          </w:pict>
        </mc:Fallback>
      </mc:AlternateContent>
    </w:r>
    <w:r>
      <w:rPr>
        <w:color w:val="1F4E79"/>
        <w:u w:color="1F4E79"/>
        <w:lang w:val="fr-FR"/>
      </w:rPr>
      <w:t xml:space="preserve">FitSM-1 : Exigences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45E"/>
    <w:multiLevelType w:val="hybridMultilevel"/>
    <w:tmpl w:val="61DA3CC6"/>
    <w:lvl w:ilvl="0" w:tplc="EBD0462A">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8C6988">
      <w:start w:val="1"/>
      <w:numFmt w:val="bullet"/>
      <w:lvlText w:val="o"/>
      <w:lvlJc w:val="left"/>
      <w:pPr>
        <w:ind w:left="144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3EC7D44">
      <w:start w:val="1"/>
      <w:numFmt w:val="bullet"/>
      <w:lvlText w:val="▪"/>
      <w:lvlJc w:val="left"/>
      <w:pPr>
        <w:ind w:left="216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AE1BBE">
      <w:start w:val="1"/>
      <w:numFmt w:val="bullet"/>
      <w:lvlText w:val="•"/>
      <w:lvlJc w:val="left"/>
      <w:pPr>
        <w:ind w:left="288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2DC39F0">
      <w:start w:val="1"/>
      <w:numFmt w:val="bullet"/>
      <w:lvlText w:val="o"/>
      <w:lvlJc w:val="left"/>
      <w:pPr>
        <w:ind w:left="360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75C9F28">
      <w:start w:val="1"/>
      <w:numFmt w:val="bullet"/>
      <w:lvlText w:val="▪"/>
      <w:lvlJc w:val="left"/>
      <w:pPr>
        <w:ind w:left="432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B5A3C50">
      <w:start w:val="1"/>
      <w:numFmt w:val="bullet"/>
      <w:lvlText w:val="•"/>
      <w:lvlJc w:val="left"/>
      <w:pPr>
        <w:ind w:left="504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92AD978">
      <w:start w:val="1"/>
      <w:numFmt w:val="bullet"/>
      <w:lvlText w:val="o"/>
      <w:lvlJc w:val="left"/>
      <w:pPr>
        <w:ind w:left="576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2B20B00">
      <w:start w:val="1"/>
      <w:numFmt w:val="bullet"/>
      <w:lvlText w:val="▪"/>
      <w:lvlJc w:val="left"/>
      <w:pPr>
        <w:ind w:left="648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FE2D04"/>
    <w:multiLevelType w:val="hybridMultilevel"/>
    <w:tmpl w:val="5C30F9B4"/>
    <w:lvl w:ilvl="0" w:tplc="206885D4">
      <w:start w:val="1"/>
      <w:numFmt w:val="bullet"/>
      <w:lvlText w:val="·"/>
      <w:lvlJc w:val="left"/>
      <w:pPr>
        <w:ind w:left="714" w:hanging="35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72FF22">
      <w:start w:val="1"/>
      <w:numFmt w:val="bullet"/>
      <w:lvlText w:val="o"/>
      <w:lvlJc w:val="left"/>
      <w:pPr>
        <w:ind w:left="1434"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BEC244">
      <w:start w:val="1"/>
      <w:numFmt w:val="bullet"/>
      <w:lvlText w:val="▪"/>
      <w:lvlJc w:val="left"/>
      <w:pPr>
        <w:ind w:left="2154"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72BB1E">
      <w:start w:val="1"/>
      <w:numFmt w:val="bullet"/>
      <w:lvlText w:val="·"/>
      <w:lvlJc w:val="left"/>
      <w:pPr>
        <w:ind w:left="2874" w:hanging="35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8EA43E">
      <w:start w:val="1"/>
      <w:numFmt w:val="bullet"/>
      <w:lvlText w:val="o"/>
      <w:lvlJc w:val="left"/>
      <w:pPr>
        <w:ind w:left="3594"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DEF44E">
      <w:start w:val="1"/>
      <w:numFmt w:val="bullet"/>
      <w:lvlText w:val="▪"/>
      <w:lvlJc w:val="left"/>
      <w:pPr>
        <w:ind w:left="4314"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26B26">
      <w:start w:val="1"/>
      <w:numFmt w:val="bullet"/>
      <w:lvlText w:val="·"/>
      <w:lvlJc w:val="left"/>
      <w:pPr>
        <w:ind w:left="5034" w:hanging="35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7A54A2">
      <w:start w:val="1"/>
      <w:numFmt w:val="bullet"/>
      <w:lvlText w:val="o"/>
      <w:lvlJc w:val="left"/>
      <w:pPr>
        <w:ind w:left="5754"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CC2FD6">
      <w:start w:val="1"/>
      <w:numFmt w:val="bullet"/>
      <w:lvlText w:val="▪"/>
      <w:lvlJc w:val="left"/>
      <w:pPr>
        <w:ind w:left="6474"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0F5269"/>
    <w:multiLevelType w:val="hybridMultilevel"/>
    <w:tmpl w:val="A718D9CC"/>
    <w:lvl w:ilvl="0" w:tplc="F372EE38">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94B91C">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625436">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8C8944">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304A20">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485A7C">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50BCE2">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0E2126">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5A031E">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90545E"/>
    <w:multiLevelType w:val="hybridMultilevel"/>
    <w:tmpl w:val="D15C3700"/>
    <w:lvl w:ilvl="0" w:tplc="6E1A476C">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9C51E6">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3C5E0C">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AE22AC">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7C19B8">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10C820">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8A7280">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063AEE">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2C6BB8">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A24EC9"/>
    <w:multiLevelType w:val="hybridMultilevel"/>
    <w:tmpl w:val="617AFF34"/>
    <w:lvl w:ilvl="0" w:tplc="3AAC5A5E">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B4DF32">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34EC12">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58630E">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2019CC">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E80090">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EA8012">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EA1E56">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607D0E">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AD1B21"/>
    <w:multiLevelType w:val="hybridMultilevel"/>
    <w:tmpl w:val="045C9630"/>
    <w:lvl w:ilvl="0" w:tplc="25F6B80C">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CCDE90">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E6F1DE">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681A92">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C0B4EE">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DC004E">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4A32E2">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3EB82E">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365CFE">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5F3B31"/>
    <w:multiLevelType w:val="hybridMultilevel"/>
    <w:tmpl w:val="0A0CE686"/>
    <w:lvl w:ilvl="0" w:tplc="303A8772">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E42A98">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48702A">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78B57A">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6A3A22">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23764">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5E354A">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0631B4">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1A5902">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B74B50"/>
    <w:multiLevelType w:val="hybridMultilevel"/>
    <w:tmpl w:val="EAA43350"/>
    <w:numStyleLink w:val="ImportedStyle3"/>
  </w:abstractNum>
  <w:abstractNum w:abstractNumId="8" w15:restartNumberingAfterBreak="0">
    <w:nsid w:val="226779E0"/>
    <w:multiLevelType w:val="hybridMultilevel"/>
    <w:tmpl w:val="B2F63B04"/>
    <w:lvl w:ilvl="0" w:tplc="5BD0A720">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5EDA1E">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2EDDEA">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40F5DA">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320BF6">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7EE646">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EA22BC">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18C964">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FA564E">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862B2A"/>
    <w:multiLevelType w:val="hybridMultilevel"/>
    <w:tmpl w:val="3AD67566"/>
    <w:lvl w:ilvl="0" w:tplc="4530B9B4">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34AD00">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7ADF74">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C5EE0">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E88E9A">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763C18">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28ECF4">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D8C464">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EA4318">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6E2B84"/>
    <w:multiLevelType w:val="multilevel"/>
    <w:tmpl w:val="1F3ED2A4"/>
    <w:numStyleLink w:val="FitSMHeadings"/>
  </w:abstractNum>
  <w:abstractNum w:abstractNumId="11" w15:restartNumberingAfterBreak="0">
    <w:nsid w:val="29415544"/>
    <w:multiLevelType w:val="hybridMultilevel"/>
    <w:tmpl w:val="B20E51F6"/>
    <w:lvl w:ilvl="0" w:tplc="BE9874E4">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0EA148">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549F80">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B504">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BCC998">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1494E2">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881C6E">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0E8FD2">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F294FE">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1C73C3"/>
    <w:multiLevelType w:val="hybridMultilevel"/>
    <w:tmpl w:val="ADB6BAEE"/>
    <w:lvl w:ilvl="0" w:tplc="F4AE831C">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E80DF2">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E8596C">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F0C45C">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1ACCB0">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3030AE">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741C30">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469FB6">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DEF1C0">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237218"/>
    <w:multiLevelType w:val="hybridMultilevel"/>
    <w:tmpl w:val="8590595A"/>
    <w:lvl w:ilvl="0" w:tplc="4DEEF3F8">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5C3500">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08D658">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72063A">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18B622">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F2BD10">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A01030">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0CA814">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CEA3FE">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8431C9A"/>
    <w:multiLevelType w:val="hybridMultilevel"/>
    <w:tmpl w:val="EAA43350"/>
    <w:styleLink w:val="ImportedStyle3"/>
    <w:lvl w:ilvl="0" w:tplc="E44857A0">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407EE8">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8E4284">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8E0132">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8EC866">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AA4626">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3C0890">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48D248">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6C44FC">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5F5890"/>
    <w:multiLevelType w:val="hybridMultilevel"/>
    <w:tmpl w:val="C7E6554A"/>
    <w:lvl w:ilvl="0" w:tplc="81BA3DAA">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D68376">
      <w:start w:val="1"/>
      <w:numFmt w:val="bullet"/>
      <w:lvlText w:val="o"/>
      <w:lvlJc w:val="left"/>
      <w:pPr>
        <w:ind w:left="144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E96307A">
      <w:start w:val="1"/>
      <w:numFmt w:val="bullet"/>
      <w:lvlText w:val="▪"/>
      <w:lvlJc w:val="left"/>
      <w:pPr>
        <w:ind w:left="216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6205260">
      <w:start w:val="1"/>
      <w:numFmt w:val="bullet"/>
      <w:lvlText w:val="•"/>
      <w:lvlJc w:val="left"/>
      <w:pPr>
        <w:ind w:left="288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90E30A2">
      <w:start w:val="1"/>
      <w:numFmt w:val="bullet"/>
      <w:lvlText w:val="o"/>
      <w:lvlJc w:val="left"/>
      <w:pPr>
        <w:ind w:left="360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E3AA784">
      <w:start w:val="1"/>
      <w:numFmt w:val="bullet"/>
      <w:lvlText w:val="▪"/>
      <w:lvlJc w:val="left"/>
      <w:pPr>
        <w:ind w:left="432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A5E7A18">
      <w:start w:val="1"/>
      <w:numFmt w:val="bullet"/>
      <w:lvlText w:val="•"/>
      <w:lvlJc w:val="left"/>
      <w:pPr>
        <w:ind w:left="504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B42E918">
      <w:start w:val="1"/>
      <w:numFmt w:val="bullet"/>
      <w:lvlText w:val="o"/>
      <w:lvlJc w:val="left"/>
      <w:pPr>
        <w:ind w:left="576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B9479DC">
      <w:start w:val="1"/>
      <w:numFmt w:val="bullet"/>
      <w:lvlText w:val="▪"/>
      <w:lvlJc w:val="left"/>
      <w:pPr>
        <w:ind w:left="6480" w:hanging="35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4F555D"/>
    <w:multiLevelType w:val="multilevel"/>
    <w:tmpl w:val="5658F8F0"/>
    <w:lvl w:ilvl="0">
      <w:start w:val="1"/>
      <w:numFmt w:val="decimal"/>
      <w:suff w:val="nothing"/>
      <w:lvlText w:val="%1."/>
      <w:lvlJc w:val="left"/>
      <w:pPr>
        <w:ind w:left="123" w:hanging="12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3" w:hanging="12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3" w:hanging="1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31" w:hanging="2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231" w:hanging="2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31"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31" w:hanging="2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31" w:hanging="2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23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52437DE"/>
    <w:multiLevelType w:val="hybridMultilevel"/>
    <w:tmpl w:val="1E449464"/>
    <w:lvl w:ilvl="0" w:tplc="66FE9A3A">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781BA6">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E60E12">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02F6F8">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F6E8FC">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8EF3AC">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960896">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16A0BE">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3CBA66">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C35164"/>
    <w:multiLevelType w:val="hybridMultilevel"/>
    <w:tmpl w:val="45D6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D69C0"/>
    <w:multiLevelType w:val="hybridMultilevel"/>
    <w:tmpl w:val="875A284A"/>
    <w:lvl w:ilvl="0" w:tplc="EE06DF8E">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EAD4EE">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2283CE">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C0676E">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A8B6E8">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EE55D6">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6240C2">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8C3836">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9A5B3A">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9794A9B"/>
    <w:multiLevelType w:val="hybridMultilevel"/>
    <w:tmpl w:val="E848D1D0"/>
    <w:lvl w:ilvl="0" w:tplc="94F2906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F63AA"/>
    <w:multiLevelType w:val="hybridMultilevel"/>
    <w:tmpl w:val="848A26B0"/>
    <w:lvl w:ilvl="0" w:tplc="82708446">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FA7940">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1C445E">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5C6D02">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0EF46">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FC3F48">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56843C">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9A86A8">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8C4DA8">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C027E30"/>
    <w:multiLevelType w:val="hybridMultilevel"/>
    <w:tmpl w:val="91DA03DC"/>
    <w:lvl w:ilvl="0" w:tplc="74D20CB4">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7C9EC0">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A29914">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EED2AA">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A283B8">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5EA120">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1E5358">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1AE38E">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007B84">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5B38F6"/>
    <w:multiLevelType w:val="hybridMultilevel"/>
    <w:tmpl w:val="E4E85836"/>
    <w:lvl w:ilvl="0" w:tplc="9F18026E">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3C2770">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AE5214">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022AE0">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F83FFC">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E6CDE0">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EE12E8">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8A02B6">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FEBF44">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47152D"/>
    <w:multiLevelType w:val="multilevel"/>
    <w:tmpl w:val="1F3ED2A4"/>
    <w:styleLink w:val="FitSMHeadings"/>
    <w:lvl w:ilvl="0">
      <w:start w:val="1"/>
      <w:numFmt w:val="decimal"/>
      <w:suff w:val="nothing"/>
      <w:lvlText w:val="%1."/>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24" w:hanging="52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524" w:hanging="52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524" w:hanging="5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24" w:hanging="52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524" w:hanging="52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524" w:hanging="5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9F2450B"/>
    <w:multiLevelType w:val="hybridMultilevel"/>
    <w:tmpl w:val="0AD4C128"/>
    <w:lvl w:ilvl="0" w:tplc="91F8655A">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36D676">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A86A10">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DA0A34">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30208E">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662E74">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48C156">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C041B6">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6E5212">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FDA5336"/>
    <w:multiLevelType w:val="hybridMultilevel"/>
    <w:tmpl w:val="214E1AAE"/>
    <w:lvl w:ilvl="0" w:tplc="F59C2A92">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383C9C">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54513A">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96B6F4">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6EE492">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AE3ED0">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8C60C6">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EAA8B8">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30059A">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9C128AB"/>
    <w:multiLevelType w:val="hybridMultilevel"/>
    <w:tmpl w:val="9EEC5D3A"/>
    <w:lvl w:ilvl="0" w:tplc="CE868F72">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80B01C">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2CD1F2">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EEBD00">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0C6258">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C0779C">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105320">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3AACDE">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A27BDA">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04399120">
    <w:abstractNumId w:val="16"/>
  </w:num>
  <w:num w:numId="2" w16cid:durableId="1462960467">
    <w:abstractNumId w:val="16"/>
    <w:lvlOverride w:ilvl="0">
      <w:startOverride w:val="2"/>
    </w:lvlOverride>
  </w:num>
  <w:num w:numId="3" w16cid:durableId="2013070079">
    <w:abstractNumId w:val="16"/>
    <w:lvlOverride w:ilvl="0">
      <w:startOverride w:val="3"/>
    </w:lvlOverride>
  </w:num>
  <w:num w:numId="4" w16cid:durableId="139007603">
    <w:abstractNumId w:val="16"/>
    <w:lvlOverride w:ilvl="0">
      <w:startOverride w:val="4"/>
    </w:lvlOverride>
  </w:num>
  <w:num w:numId="5" w16cid:durableId="1481119669">
    <w:abstractNumId w:val="24"/>
  </w:num>
  <w:num w:numId="6" w16cid:durableId="2053922749">
    <w:abstractNumId w:val="10"/>
  </w:num>
  <w:num w:numId="7" w16cid:durableId="806361198">
    <w:abstractNumId w:val="14"/>
  </w:num>
  <w:num w:numId="8" w16cid:durableId="1997756897">
    <w:abstractNumId w:val="7"/>
  </w:num>
  <w:num w:numId="9" w16cid:durableId="1456295638">
    <w:abstractNumId w:val="10"/>
    <w:lvlOverride w:ilvl="0">
      <w:startOverride w:val="2"/>
    </w:lvlOverride>
  </w:num>
  <w:num w:numId="10" w16cid:durableId="191387845">
    <w:abstractNumId w:val="10"/>
    <w:lvlOverride w:ilvl="0">
      <w:lvl w:ilvl="0">
        <w:start w:val="1"/>
        <w:numFmt w:val="decimal"/>
        <w:suff w:val="nothing"/>
        <w:lvlText w:val="%1."/>
        <w:lvlJc w:val="left"/>
        <w:pPr>
          <w:ind w:left="298"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298"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98"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65" w:hanging="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465" w:hanging="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465" w:hanging="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65" w:hanging="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465" w:hanging="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465" w:hanging="4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884436326">
    <w:abstractNumId w:val="1"/>
  </w:num>
  <w:num w:numId="12" w16cid:durableId="1177427529">
    <w:abstractNumId w:val="0"/>
  </w:num>
  <w:num w:numId="13" w16cid:durableId="1504785831">
    <w:abstractNumId w:val="4"/>
  </w:num>
  <w:num w:numId="14" w16cid:durableId="976841118">
    <w:abstractNumId w:val="15"/>
  </w:num>
  <w:num w:numId="15" w16cid:durableId="2146316762">
    <w:abstractNumId w:val="3"/>
  </w:num>
  <w:num w:numId="16" w16cid:durableId="579677264">
    <w:abstractNumId w:val="26"/>
  </w:num>
  <w:num w:numId="17" w16cid:durableId="380137618">
    <w:abstractNumId w:val="13"/>
  </w:num>
  <w:num w:numId="18" w16cid:durableId="1462379866">
    <w:abstractNumId w:val="10"/>
    <w:lvlOverride w:ilvl="0">
      <w:startOverride w:val="4"/>
    </w:lvlOverride>
  </w:num>
  <w:num w:numId="19" w16cid:durableId="561059697">
    <w:abstractNumId w:val="6"/>
  </w:num>
  <w:num w:numId="20" w16cid:durableId="1246769788">
    <w:abstractNumId w:val="5"/>
  </w:num>
  <w:num w:numId="21" w16cid:durableId="1416439541">
    <w:abstractNumId w:val="8"/>
  </w:num>
  <w:num w:numId="22" w16cid:durableId="1321350465">
    <w:abstractNumId w:val="27"/>
  </w:num>
  <w:num w:numId="23" w16cid:durableId="1956133250">
    <w:abstractNumId w:val="9"/>
  </w:num>
  <w:num w:numId="24" w16cid:durableId="825047118">
    <w:abstractNumId w:val="11"/>
  </w:num>
  <w:num w:numId="25" w16cid:durableId="1005204211">
    <w:abstractNumId w:val="17"/>
  </w:num>
  <w:num w:numId="26" w16cid:durableId="1548567614">
    <w:abstractNumId w:val="25"/>
  </w:num>
  <w:num w:numId="27" w16cid:durableId="1009603743">
    <w:abstractNumId w:val="21"/>
  </w:num>
  <w:num w:numId="28" w16cid:durableId="1019816077">
    <w:abstractNumId w:val="12"/>
  </w:num>
  <w:num w:numId="29" w16cid:durableId="1927810071">
    <w:abstractNumId w:val="2"/>
  </w:num>
  <w:num w:numId="30" w16cid:durableId="38868522">
    <w:abstractNumId w:val="22"/>
  </w:num>
  <w:num w:numId="31" w16cid:durableId="926234457">
    <w:abstractNumId w:val="19"/>
  </w:num>
  <w:num w:numId="32" w16cid:durableId="381443402">
    <w:abstractNumId w:val="23"/>
  </w:num>
  <w:num w:numId="33" w16cid:durableId="1639140095">
    <w:abstractNumId w:val="18"/>
  </w:num>
  <w:num w:numId="34" w16cid:durableId="21204874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48"/>
    <w:rsid w:val="00055AE9"/>
    <w:rsid w:val="00125D48"/>
    <w:rsid w:val="00173681"/>
    <w:rsid w:val="0022301F"/>
    <w:rsid w:val="0032665A"/>
    <w:rsid w:val="003B541E"/>
    <w:rsid w:val="00772A11"/>
    <w:rsid w:val="00994656"/>
    <w:rsid w:val="009D10EC"/>
    <w:rsid w:val="00A63B96"/>
    <w:rsid w:val="00A95CA9"/>
    <w:rsid w:val="00AA67F6"/>
    <w:rsid w:val="00BB0FAF"/>
    <w:rsid w:val="00C167C9"/>
    <w:rsid w:val="00CE5C29"/>
    <w:rsid w:val="00E5078A"/>
    <w:rsid w:val="00F63E10"/>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5C32D2"/>
  <w15:docId w15:val="{CE280C75-D7A0-1749-9ADA-AE3280A9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NL"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character" w:customStyle="1" w:styleId="tlid-translation">
    <w:name w:val="tlid-translation"/>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FitSM-Titlepage-title">
    <w:name w:val="FitSM-Titlepage-title"/>
    <w:pPr>
      <w:jc w:val="center"/>
    </w:pPr>
    <w:rPr>
      <w:rFonts w:ascii="Calibri Light" w:hAnsi="Calibri Light" w:cs="Arial Unicode MS"/>
      <w:color w:val="1F4E79"/>
      <w:spacing w:val="-9"/>
      <w:sz w:val="56"/>
      <w:szCs w:val="56"/>
      <w:u w:color="1F4E79"/>
      <w:lang w:val="en-US"/>
    </w:rPr>
  </w:style>
  <w:style w:type="paragraph" w:customStyle="1" w:styleId="FitSM-Titlepage-Subtitle">
    <w:name w:val="FitSM-Titlepage-Subtitle"/>
    <w:pPr>
      <w:jc w:val="center"/>
    </w:pPr>
    <w:rPr>
      <w:rFonts w:ascii="Calibri Light" w:eastAsia="Calibri Light" w:hAnsi="Calibri Light" w:cs="Calibri Light"/>
      <w:i/>
      <w:iCs/>
      <w:color w:val="1F4E79"/>
      <w:spacing w:val="-9"/>
      <w:sz w:val="40"/>
      <w:szCs w:val="40"/>
      <w:u w:color="1F4E79"/>
      <w:lang w:val="en-US"/>
    </w:rPr>
  </w:style>
  <w:style w:type="paragraph" w:customStyle="1" w:styleId="FitSM-Titlepage-version">
    <w:name w:val="FitSM-Titlepage-version"/>
    <w:pPr>
      <w:jc w:val="center"/>
    </w:pPr>
    <w:rPr>
      <w:rFonts w:ascii="Calibri Light" w:hAnsi="Calibri Light" w:cs="Arial Unicode MS"/>
      <w:color w:val="1F4E79"/>
      <w:spacing w:val="-9"/>
      <w:sz w:val="24"/>
      <w:szCs w:val="24"/>
      <w:u w:color="1F4E79"/>
      <w:lang w:val="en-US"/>
    </w:rPr>
  </w:style>
  <w:style w:type="paragraph" w:customStyle="1" w:styleId="Style1">
    <w:name w:val="Style1"/>
    <w:pPr>
      <w:jc w:val="center"/>
    </w:pPr>
    <w:rPr>
      <w:rFonts w:ascii="Calibri Light" w:eastAsia="Calibri Light" w:hAnsi="Calibri Light" w:cs="Calibri Light"/>
      <w:color w:val="1F4E79"/>
      <w:spacing w:val="-9"/>
      <w:sz w:val="24"/>
      <w:szCs w:val="24"/>
      <w:u w:color="1F4E79"/>
      <w:lang w:val="en-US"/>
    </w:rPr>
  </w:style>
  <w:style w:type="paragraph" w:customStyle="1" w:styleId="FitSM-acknowledgement-footer">
    <w:name w:val="FitSM-acknowledgement-footer"/>
    <w:pPr>
      <w:tabs>
        <w:tab w:val="center" w:pos="4513"/>
        <w:tab w:val="right" w:pos="9026"/>
      </w:tabs>
      <w:jc w:val="center"/>
    </w:pPr>
    <w:rPr>
      <w:rFonts w:ascii="Calibri" w:hAnsi="Calibri" w:cs="Arial Unicode MS"/>
      <w:color w:val="FFFFFF"/>
      <w:u w:color="FFFFFF"/>
      <w:lang w:val="en-US"/>
    </w:rPr>
  </w:style>
  <w:style w:type="character" w:customStyle="1" w:styleId="Link">
    <w:name w:val="Link"/>
    <w:rPr>
      <w:outline w:val="0"/>
      <w:color w:val="0563C1"/>
      <w:u w:val="single" w:color="0563C1"/>
    </w:rPr>
  </w:style>
  <w:style w:type="character" w:customStyle="1" w:styleId="Hyperlink0">
    <w:name w:val="Hyperlink.0"/>
    <w:basedOn w:val="Link"/>
    <w:rPr>
      <w:outline w:val="0"/>
      <w:color w:val="FFFFFF"/>
      <w:u w:val="single" w:color="FFFFFF"/>
    </w:rPr>
  </w:style>
  <w:style w:type="paragraph" w:customStyle="1" w:styleId="H1-non-ToC-FitSM">
    <w:name w:val="H1-non-ToC-FitSM"/>
    <w:pPr>
      <w:spacing w:after="160" w:line="259" w:lineRule="auto"/>
    </w:pPr>
    <w:rPr>
      <w:rFonts w:ascii="Calibri Light" w:hAnsi="Calibri Light" w:cs="Arial Unicode MS"/>
      <w:color w:val="1F4E79"/>
      <w:sz w:val="32"/>
      <w:szCs w:val="32"/>
      <w:u w:color="1F4E79"/>
      <w:lang w:val="en-US"/>
    </w:rPr>
  </w:style>
  <w:style w:type="paragraph" w:styleId="TOCHeading">
    <w:name w:val="TOC Heading"/>
    <w:next w:val="Body"/>
    <w:pPr>
      <w:keepNext/>
      <w:keepLines/>
      <w:spacing w:before="240" w:line="259" w:lineRule="auto"/>
    </w:pPr>
    <w:rPr>
      <w:rFonts w:ascii="Calibri Light" w:hAnsi="Calibri Light" w:cs="Arial Unicode MS"/>
      <w:color w:val="1F4E79"/>
      <w:sz w:val="32"/>
      <w:szCs w:val="32"/>
      <w:u w:color="1F4E79"/>
      <w:lang w:val="en-US"/>
    </w:rPr>
  </w:style>
  <w:style w:type="paragraph" w:styleId="TOC1">
    <w:name w:val="toc 1"/>
    <w:uiPriority w:val="39"/>
    <w:pPr>
      <w:tabs>
        <w:tab w:val="right" w:leader="dot" w:pos="9000"/>
      </w:tabs>
      <w:spacing w:after="100" w:line="259" w:lineRule="auto"/>
    </w:pPr>
    <w:rPr>
      <w:rFonts w:ascii="Calibri" w:eastAsia="Calibri" w:hAnsi="Calibri" w:cs="Calibri"/>
      <w:color w:val="000000"/>
      <w:sz w:val="22"/>
      <w:szCs w:val="22"/>
      <w:u w:color="000000"/>
      <w:lang w:val="en-US"/>
    </w:rPr>
  </w:style>
  <w:style w:type="paragraph" w:customStyle="1" w:styleId="H1-FitSM">
    <w:name w:val="H1-FitSM"/>
    <w:next w:val="Body"/>
    <w:pPr>
      <w:keepNext/>
      <w:keepLines/>
      <w:spacing w:before="240" w:line="259" w:lineRule="auto"/>
      <w:ind w:left="167" w:hanging="167"/>
      <w:outlineLvl w:val="0"/>
    </w:pPr>
    <w:rPr>
      <w:rFonts w:ascii="Calibri Light" w:eastAsia="Calibri Light" w:hAnsi="Calibri Light" w:cs="Calibri Light"/>
      <w:color w:val="1F4E79"/>
      <w:sz w:val="34"/>
      <w:szCs w:val="34"/>
      <w:u w:color="1F4E79"/>
      <w:lang w:val="fr-FR"/>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numbering" w:customStyle="1" w:styleId="FitSMHeadings">
    <w:name w:val="FitSM Headings"/>
    <w:pPr>
      <w:numPr>
        <w:numId w:val="5"/>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7"/>
      </w:numPr>
    </w:pPr>
  </w:style>
  <w:style w:type="character" w:customStyle="1" w:styleId="Hyperlink1">
    <w:name w:val="Hyperlink.1"/>
    <w:basedOn w:val="Link"/>
    <w:rPr>
      <w:outline w:val="0"/>
      <w:color w:val="0563C1"/>
      <w:u w:val="single" w:color="0563C1"/>
      <w:lang w:val="fr-FR"/>
    </w:rPr>
  </w:style>
  <w:style w:type="paragraph" w:customStyle="1" w:styleId="Heading3ReqTitle">
    <w:name w:val="Heading 3: Req Title"/>
    <w:pPr>
      <w:keepNext/>
      <w:keepLines/>
      <w:spacing w:before="200"/>
    </w:pPr>
    <w:rPr>
      <w:rFonts w:ascii="Calibri" w:hAnsi="Calibri" w:cs="Arial Unicode MS"/>
      <w:color w:val="FFFFFF"/>
      <w:sz w:val="22"/>
      <w:szCs w:val="22"/>
      <w:u w:color="FFFFFF"/>
      <w:lang w:val="en-US"/>
    </w:rPr>
  </w:style>
  <w:style w:type="paragraph" w:customStyle="1" w:styleId="BoxHeader">
    <w:name w:val="Box Header"/>
    <w:rPr>
      <w:rFonts w:ascii="Calibri" w:hAnsi="Calibri" w:cs="Arial Unicode MS"/>
      <w:caps/>
      <w:color w:val="FFFFFF"/>
      <w:sz w:val="24"/>
      <w:szCs w:val="24"/>
      <w:u w:color="FFFFFF"/>
      <w:lang w:val="en-US"/>
    </w:rPr>
  </w:style>
  <w:style w:type="paragraph" w:customStyle="1" w:styleId="AAAfitsmreqs">
    <w:name w:val="AAA fitsm reqs"/>
    <w:pPr>
      <w:spacing w:after="80" w:line="288" w:lineRule="auto"/>
    </w:pPr>
    <w:rPr>
      <w:rFonts w:ascii="Calibri" w:hAnsi="Calibri" w:cs="Arial Unicode MS"/>
      <w:color w:val="000000"/>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FitSM-table-spacer">
    <w:name w:val="FitSM-table-spacer"/>
    <w:pPr>
      <w:spacing w:line="259" w:lineRule="auto"/>
    </w:pPr>
    <w:rPr>
      <w:rFonts w:ascii="Calibri" w:eastAsia="Calibri" w:hAnsi="Calibri" w:cs="Calibri"/>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0FA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www.fitsm.eu/"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creativecommons.org/licenses/by/4.0/" TargetMode="External"/><Relationship Id="rId25" Type="http://schemas.openxmlformats.org/officeDocument/2006/relationships/hyperlink" Target="http://www.fitsm.eu"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fitsm.e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Yannick LEGRE</cp:lastModifiedBy>
  <cp:revision>3</cp:revision>
  <dcterms:created xsi:type="dcterms:W3CDTF">2023-06-16T09:47:00Z</dcterms:created>
  <dcterms:modified xsi:type="dcterms:W3CDTF">2023-06-16T20:23:00Z</dcterms:modified>
</cp:coreProperties>
</file>